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9F997">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rPr>
          <w:rFonts w:ascii="Times New Roman" w:hAnsi="Times New Roman" w:eastAsia="方正小标宋简体" w:cs="Times New Roman"/>
          <w:bCs/>
          <w:color w:val="auto"/>
          <w:sz w:val="44"/>
          <w:szCs w:val="44"/>
          <w:highlight w:val="none"/>
        </w:rPr>
      </w:pPr>
      <w:r>
        <w:rPr>
          <w:rStyle w:val="8"/>
          <w:rFonts w:ascii="Times New Roman" w:hAnsi="Times New Roman" w:eastAsia="方正小标宋简体" w:cs="Times New Roman"/>
          <w:b w:val="0"/>
          <w:bCs/>
          <w:color w:val="auto"/>
          <w:kern w:val="0"/>
          <w:sz w:val="44"/>
          <w:szCs w:val="44"/>
          <w:highlight w:val="none"/>
          <w:shd w:val="clear" w:color="auto" w:fill="FFFFFF"/>
          <w:lang w:bidi="ar"/>
        </w:rPr>
        <w:t>关于编制202</w:t>
      </w:r>
      <w:r>
        <w:rPr>
          <w:rStyle w:val="8"/>
          <w:rFonts w:hint="eastAsia" w:ascii="Times New Roman" w:hAnsi="Times New Roman" w:eastAsia="方正小标宋简体" w:cs="Times New Roman"/>
          <w:b w:val="0"/>
          <w:bCs/>
          <w:color w:val="auto"/>
          <w:kern w:val="0"/>
          <w:sz w:val="44"/>
          <w:szCs w:val="44"/>
          <w:highlight w:val="none"/>
          <w:shd w:val="clear" w:color="auto" w:fill="FFFFFF"/>
          <w:lang w:val="en-US" w:eastAsia="zh-CN" w:bidi="ar"/>
        </w:rPr>
        <w:t>6</w:t>
      </w:r>
      <w:r>
        <w:rPr>
          <w:rStyle w:val="8"/>
          <w:rFonts w:ascii="Times New Roman" w:hAnsi="Times New Roman" w:eastAsia="方正小标宋简体" w:cs="Times New Roman"/>
          <w:b w:val="0"/>
          <w:bCs/>
          <w:color w:val="auto"/>
          <w:kern w:val="0"/>
          <w:sz w:val="44"/>
          <w:szCs w:val="44"/>
          <w:highlight w:val="none"/>
          <w:shd w:val="clear" w:color="auto" w:fill="FFFFFF"/>
          <w:lang w:bidi="ar"/>
        </w:rPr>
        <w:t>年度校内预算的通知</w:t>
      </w:r>
    </w:p>
    <w:p w14:paraId="4975A5A5">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jc w:val="center"/>
        <w:textAlignment w:val="auto"/>
        <w:rPr>
          <w:rFonts w:ascii="Times New Roman" w:hAnsi="Times New Roman" w:eastAsia="微软雅黑" w:cs="Times New Roman"/>
          <w:color w:val="auto"/>
          <w:szCs w:val="21"/>
          <w:highlight w:val="none"/>
        </w:rPr>
      </w:pPr>
      <w:r>
        <w:rPr>
          <w:rFonts w:ascii="Times New Roman" w:hAnsi="Times New Roman" w:eastAsia="微软雅黑" w:cs="Times New Roman"/>
          <w:color w:val="auto"/>
          <w:kern w:val="0"/>
          <w:sz w:val="18"/>
          <w:szCs w:val="18"/>
          <w:highlight w:val="none"/>
          <w:shd w:val="clear" w:color="auto" w:fill="FFFFFF"/>
          <w:lang w:bidi="ar"/>
        </w:rPr>
        <w:t> </w:t>
      </w:r>
    </w:p>
    <w:p w14:paraId="1A47EBB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jc w:val="both"/>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各部门、学院：</w:t>
      </w:r>
    </w:p>
    <w:p w14:paraId="592B2F2A">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根据《预算法》《</w:t>
      </w:r>
      <w:bookmarkStart w:id="0" w:name="docTitle"/>
      <w:r>
        <w:rPr>
          <w:rFonts w:ascii="Times New Roman" w:hAnsi="Times New Roman" w:eastAsia="仿宋_GB2312"/>
          <w:color w:val="auto"/>
          <w:sz w:val="32"/>
          <w:szCs w:val="32"/>
          <w:highlight w:val="none"/>
        </w:rPr>
        <w:t>湖州市财政局关于编制202</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年市直预算的通知</w:t>
      </w:r>
      <w:bookmarkEnd w:id="0"/>
      <w:r>
        <w:rPr>
          <w:rFonts w:ascii="Times New Roman" w:hAnsi="Times New Roman" w:eastAsia="仿宋_GB2312"/>
          <w:color w:val="auto"/>
          <w:sz w:val="32"/>
          <w:szCs w:val="32"/>
          <w:highlight w:val="none"/>
        </w:rPr>
        <w:t>》（湖财预〔</w:t>
      </w:r>
      <w:r>
        <w:rPr>
          <w:rFonts w:hint="eastAsia" w:ascii="Times New Roman" w:hAnsi="Times New Roman" w:eastAsia="仿宋_GB2312"/>
          <w:color w:val="auto"/>
          <w:sz w:val="32"/>
          <w:szCs w:val="32"/>
          <w:highlight w:val="none"/>
          <w:lang w:val="en-US" w:eastAsia="zh-CN"/>
        </w:rPr>
        <w:t xml:space="preserve">2025 </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107</w:t>
      </w:r>
      <w:r>
        <w:rPr>
          <w:rFonts w:ascii="Times New Roman" w:hAnsi="Times New Roman" w:eastAsia="仿宋_GB2312"/>
          <w:color w:val="auto"/>
          <w:sz w:val="32"/>
          <w:szCs w:val="32"/>
          <w:highlight w:val="none"/>
        </w:rPr>
        <w:t>号）《湖州师范学院预算管理办法》《湖州师范学院</w:t>
      </w:r>
      <w:r>
        <w:rPr>
          <w:rFonts w:hint="eastAsia" w:ascii="Times New Roman" w:hAnsi="Times New Roman" w:eastAsia="仿宋_GB2312"/>
          <w:color w:val="auto"/>
          <w:sz w:val="32"/>
          <w:szCs w:val="32"/>
          <w:highlight w:val="none"/>
          <w:lang w:val="en-US" w:eastAsia="zh-CN"/>
        </w:rPr>
        <w:t>项目库</w:t>
      </w:r>
      <w:r>
        <w:rPr>
          <w:rFonts w:ascii="Times New Roman" w:hAnsi="Times New Roman" w:eastAsia="仿宋_GB2312"/>
          <w:color w:val="auto"/>
          <w:sz w:val="32"/>
          <w:szCs w:val="32"/>
          <w:highlight w:val="none"/>
        </w:rPr>
        <w:t>管理办法》等有关规定</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根据</w:t>
      </w:r>
      <w:r>
        <w:rPr>
          <w:rFonts w:hint="eastAsia" w:ascii="Times New Roman" w:hAnsi="Times New Roman" w:eastAsia="仿宋_GB2312"/>
          <w:color w:val="auto"/>
          <w:sz w:val="32"/>
          <w:szCs w:val="32"/>
          <w:highlight w:val="none"/>
          <w:lang w:eastAsia="zh-CN"/>
        </w:rPr>
        <w:t>省委、省政府关于深化零基预算改革的决策部署，</w:t>
      </w:r>
      <w:r>
        <w:rPr>
          <w:rFonts w:hint="eastAsia" w:ascii="Times New Roman" w:hAnsi="Times New Roman" w:eastAsia="仿宋_GB2312"/>
          <w:color w:val="auto"/>
          <w:sz w:val="32"/>
          <w:szCs w:val="32"/>
          <w:highlight w:val="none"/>
          <w:lang w:val="en-US" w:eastAsia="zh-CN"/>
        </w:rPr>
        <w:t>以及</w:t>
      </w:r>
      <w:r>
        <w:rPr>
          <w:rFonts w:hint="eastAsia" w:ascii="Times New Roman" w:hAnsi="Times New Roman" w:eastAsia="仿宋_GB2312"/>
          <w:color w:val="auto"/>
          <w:sz w:val="32"/>
          <w:szCs w:val="32"/>
          <w:highlight w:val="none"/>
          <w:lang w:eastAsia="zh-CN"/>
        </w:rPr>
        <w:t>贯彻党政机关习惯过紧日子的要求，</w:t>
      </w:r>
      <w:r>
        <w:rPr>
          <w:rFonts w:ascii="Times New Roman" w:hAnsi="Times New Roman" w:eastAsia="仿宋_GB2312"/>
          <w:color w:val="auto"/>
          <w:sz w:val="32"/>
          <w:szCs w:val="32"/>
          <w:highlight w:val="none"/>
        </w:rPr>
        <w:t>结合我校预算管理实际，现就202</w:t>
      </w:r>
      <w:r>
        <w:rPr>
          <w:rFonts w:hint="eastAsia" w:ascii="Times New Roman" w:hAnsi="Times New Roman" w:eastAsia="仿宋_GB2312"/>
          <w:color w:val="auto"/>
          <w:sz w:val="32"/>
          <w:szCs w:val="32"/>
          <w:highlight w:val="none"/>
          <w:lang w:val="en-US" w:eastAsia="zh-CN"/>
        </w:rPr>
        <w:t>6</w:t>
      </w:r>
      <w:r>
        <w:rPr>
          <w:rFonts w:ascii="Times New Roman" w:hAnsi="Times New Roman" w:eastAsia="仿宋_GB2312"/>
          <w:color w:val="auto"/>
          <w:sz w:val="32"/>
          <w:szCs w:val="32"/>
          <w:highlight w:val="none"/>
        </w:rPr>
        <w:t>年度预算编制</w:t>
      </w:r>
      <w:r>
        <w:rPr>
          <w:rFonts w:hint="eastAsia" w:ascii="Times New Roman" w:hAnsi="Times New Roman" w:eastAsia="仿宋_GB2312"/>
          <w:color w:val="auto"/>
          <w:sz w:val="32"/>
          <w:szCs w:val="32"/>
          <w:highlight w:val="none"/>
          <w:lang w:val="en-US" w:eastAsia="zh-CN"/>
        </w:rPr>
        <w:t>工作</w:t>
      </w:r>
      <w:r>
        <w:rPr>
          <w:rFonts w:ascii="Times New Roman" w:hAnsi="Times New Roman" w:eastAsia="仿宋_GB2312"/>
          <w:color w:val="auto"/>
          <w:sz w:val="32"/>
          <w:szCs w:val="32"/>
          <w:highlight w:val="none"/>
        </w:rPr>
        <w:t>有关事项通知如下：</w:t>
      </w:r>
    </w:p>
    <w:p w14:paraId="3F7339DB">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90"/>
        <w:textAlignment w:val="auto"/>
        <w:rPr>
          <w:rStyle w:val="8"/>
          <w:rFonts w:ascii="Times New Roman" w:hAnsi="Times New Roman" w:eastAsia="黑体" w:cs="Times New Roman"/>
          <w:b w:val="0"/>
          <w:bCs/>
          <w:color w:val="auto"/>
          <w:kern w:val="0"/>
          <w:sz w:val="32"/>
          <w:szCs w:val="32"/>
          <w:highlight w:val="none"/>
          <w:shd w:val="clear" w:color="auto" w:fill="FFFFFF"/>
          <w:lang w:bidi="ar"/>
        </w:rPr>
      </w:pPr>
      <w:r>
        <w:rPr>
          <w:rStyle w:val="8"/>
          <w:rFonts w:hint="default" w:ascii="Times New Roman" w:hAnsi="Times New Roman" w:eastAsia="黑体" w:cs="Times New Roman"/>
          <w:b w:val="0"/>
          <w:bCs/>
          <w:color w:val="auto"/>
          <w:kern w:val="0"/>
          <w:sz w:val="32"/>
          <w:szCs w:val="32"/>
          <w:highlight w:val="none"/>
          <w:shd w:val="clear" w:color="auto" w:fill="FFFFFF"/>
          <w:lang w:bidi="ar"/>
        </w:rPr>
        <w:t>一、指导思想</w:t>
      </w:r>
    </w:p>
    <w:p w14:paraId="56B531C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仿宋_GB2312"/>
          <w:color w:val="auto"/>
          <w:sz w:val="32"/>
          <w:szCs w:val="32"/>
          <w:highlight w:val="none"/>
        </w:rPr>
      </w:pPr>
      <w:r>
        <w:rPr>
          <w:rFonts w:hint="default" w:ascii="Times New Roman" w:hAnsi="Times New Roman" w:eastAsia="仿宋_GB2312"/>
          <w:color w:val="auto"/>
          <w:sz w:val="32"/>
          <w:szCs w:val="32"/>
          <w:highlight w:val="none"/>
        </w:rPr>
        <w:t>坚持以习近平新时代中国特色社会主义思想为指导，全面贯彻党的二十大及</w:t>
      </w:r>
      <w:r>
        <w:rPr>
          <w:rFonts w:ascii="仿宋_GB2312" w:hAnsi="仿宋_GB2312" w:eastAsia="仿宋_GB2312" w:cs="仿宋_GB2312"/>
          <w:b w:val="0"/>
          <w:bCs w:val="0"/>
          <w:color w:val="auto"/>
          <w:sz w:val="31"/>
          <w:szCs w:val="31"/>
          <w:highlight w:val="none"/>
        </w:rPr>
        <w:t>和二十届二中、三中全会</w:t>
      </w:r>
      <w:r>
        <w:rPr>
          <w:rFonts w:hint="default" w:ascii="Times New Roman" w:hAnsi="Times New Roman" w:eastAsia="仿宋_GB2312"/>
          <w:color w:val="auto"/>
          <w:sz w:val="32"/>
          <w:szCs w:val="32"/>
          <w:highlight w:val="none"/>
        </w:rPr>
        <w:t>精神，</w:t>
      </w:r>
      <w:r>
        <w:rPr>
          <w:rFonts w:hint="eastAsia" w:ascii="Times New Roman" w:hAnsi="Times New Roman" w:eastAsia="仿宋_GB2312"/>
          <w:color w:val="auto"/>
          <w:sz w:val="32"/>
          <w:szCs w:val="32"/>
          <w:highlight w:val="none"/>
          <w:lang w:val="en-US" w:eastAsia="zh-CN"/>
        </w:rPr>
        <w:t>紧紧围绕</w:t>
      </w:r>
      <w:r>
        <w:rPr>
          <w:rFonts w:hint="default" w:ascii="Times New Roman" w:hAnsi="Times New Roman" w:eastAsia="仿宋_GB2312"/>
          <w:color w:val="auto"/>
          <w:sz w:val="32"/>
          <w:szCs w:val="32"/>
          <w:highlight w:val="none"/>
        </w:rPr>
        <w:t>学校</w:t>
      </w:r>
      <w:r>
        <w:rPr>
          <w:rFonts w:hint="eastAsia"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rPr>
        <w:t>十五五</w:t>
      </w:r>
      <w:r>
        <w:rPr>
          <w:rFonts w:hint="eastAsia" w:ascii="Times New Roman" w:hAnsi="Times New Roman" w:eastAsia="仿宋_GB2312"/>
          <w:color w:val="auto"/>
          <w:sz w:val="32"/>
          <w:szCs w:val="32"/>
          <w:highlight w:val="none"/>
          <w:lang w:eastAsia="zh-CN"/>
        </w:rPr>
        <w:t>”</w:t>
      </w:r>
      <w:r>
        <w:rPr>
          <w:rFonts w:hint="default" w:ascii="Times New Roman" w:hAnsi="Times New Roman" w:eastAsia="仿宋_GB2312"/>
          <w:color w:val="auto"/>
          <w:sz w:val="32"/>
          <w:szCs w:val="32"/>
          <w:highlight w:val="none"/>
        </w:rPr>
        <w:t>规划</w:t>
      </w:r>
      <w:r>
        <w:rPr>
          <w:rFonts w:hint="eastAsia" w:ascii="Times New Roman" w:hAnsi="Times New Roman" w:eastAsia="仿宋_GB2312"/>
          <w:color w:val="auto"/>
          <w:sz w:val="32"/>
          <w:szCs w:val="32"/>
          <w:highlight w:val="none"/>
          <w:lang w:val="en-US" w:eastAsia="zh-CN"/>
        </w:rPr>
        <w:t>和</w:t>
      </w:r>
      <w:r>
        <w:rPr>
          <w:rFonts w:hint="default" w:ascii="Times New Roman" w:hAnsi="Times New Roman" w:eastAsia="仿宋_GB2312"/>
          <w:color w:val="auto"/>
          <w:sz w:val="32"/>
          <w:szCs w:val="32"/>
          <w:highlight w:val="none"/>
        </w:rPr>
        <w:t>年度重点任务，</w:t>
      </w:r>
      <w:r>
        <w:rPr>
          <w:rFonts w:hint="eastAsia" w:ascii="Times New Roman" w:hAnsi="Times New Roman" w:eastAsia="仿宋_GB2312"/>
          <w:color w:val="auto"/>
          <w:sz w:val="32"/>
          <w:szCs w:val="32"/>
          <w:highlight w:val="none"/>
          <w:lang w:val="en-US" w:eastAsia="zh-CN"/>
        </w:rPr>
        <w:t>深入推进</w:t>
      </w:r>
      <w:r>
        <w:rPr>
          <w:rFonts w:hint="eastAsia" w:ascii="Times New Roman" w:hAnsi="Times New Roman" w:eastAsia="仿宋_GB2312"/>
          <w:color w:val="auto"/>
          <w:sz w:val="32"/>
          <w:szCs w:val="32"/>
          <w:highlight w:val="none"/>
        </w:rPr>
        <w:t>零基预算改革</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强化预算统筹和刚性约束，牢固树立</w:t>
      </w:r>
      <w:r>
        <w:rPr>
          <w:rFonts w:hint="eastAsia" w:ascii="Times New Roman" w:hAnsi="Times New Roman" w:eastAsia="仿宋_GB2312"/>
          <w:color w:val="auto"/>
          <w:sz w:val="32"/>
          <w:szCs w:val="32"/>
          <w:highlight w:val="none"/>
          <w:lang w:eastAsia="zh-CN"/>
        </w:rPr>
        <w:t>“过紧日子”</w:t>
      </w:r>
      <w:r>
        <w:rPr>
          <w:rFonts w:hint="eastAsia" w:ascii="Times New Roman" w:hAnsi="Times New Roman" w:eastAsia="仿宋_GB2312"/>
          <w:color w:val="auto"/>
          <w:sz w:val="32"/>
          <w:szCs w:val="32"/>
          <w:highlight w:val="none"/>
          <w:lang w:val="en-US" w:eastAsia="zh-CN"/>
        </w:rPr>
        <w:t>思想</w:t>
      </w:r>
      <w:r>
        <w:rPr>
          <w:rFonts w:hint="default"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大力优化支出结构，加强预算绩效管理，</w:t>
      </w:r>
      <w:r>
        <w:rPr>
          <w:rFonts w:hint="eastAsia" w:ascii="Times New Roman" w:hAnsi="Times New Roman" w:eastAsia="仿宋_GB2312"/>
          <w:color w:val="auto"/>
          <w:sz w:val="32"/>
          <w:szCs w:val="32"/>
          <w:highlight w:val="none"/>
        </w:rPr>
        <w:t>积极</w:t>
      </w:r>
      <w:r>
        <w:rPr>
          <w:rFonts w:hint="eastAsia" w:ascii="Times New Roman" w:hAnsi="Times New Roman" w:eastAsia="仿宋_GB2312"/>
          <w:color w:val="auto"/>
          <w:sz w:val="32"/>
          <w:szCs w:val="32"/>
          <w:highlight w:val="none"/>
          <w:lang w:val="en-US" w:eastAsia="zh-CN"/>
        </w:rPr>
        <w:t>拓展</w:t>
      </w:r>
      <w:r>
        <w:rPr>
          <w:rFonts w:hint="eastAsia" w:ascii="Times New Roman" w:hAnsi="Times New Roman" w:eastAsia="仿宋_GB2312"/>
          <w:color w:val="auto"/>
          <w:sz w:val="32"/>
          <w:szCs w:val="32"/>
          <w:highlight w:val="none"/>
        </w:rPr>
        <w:t>资源</w:t>
      </w:r>
      <w:r>
        <w:rPr>
          <w:rFonts w:hint="eastAsia" w:ascii="Times New Roman" w:hAnsi="Times New Roman" w:eastAsia="仿宋_GB2312"/>
          <w:color w:val="auto"/>
          <w:sz w:val="32"/>
          <w:szCs w:val="32"/>
          <w:highlight w:val="none"/>
          <w:lang w:val="en-US" w:eastAsia="zh-CN"/>
        </w:rPr>
        <w:t>渠道</w:t>
      </w:r>
      <w:r>
        <w:rPr>
          <w:rFonts w:hint="default" w:ascii="Times New Roman" w:hAnsi="Times New Roman" w:eastAsia="仿宋_GB2312"/>
          <w:color w:val="auto"/>
          <w:sz w:val="32"/>
          <w:szCs w:val="32"/>
          <w:highlight w:val="none"/>
        </w:rPr>
        <w:t>，提升财务资源配置效率和使用效益</w:t>
      </w:r>
      <w:r>
        <w:rPr>
          <w:rFonts w:hint="eastAsia" w:ascii="Times New Roman" w:hAnsi="Times New Roman" w:eastAsia="仿宋_GB2312"/>
          <w:color w:val="auto"/>
          <w:sz w:val="32"/>
          <w:szCs w:val="32"/>
          <w:highlight w:val="none"/>
        </w:rPr>
        <w:t>，为推动学校“十五五”时期高质量发展奠定坚实财务基础。</w:t>
      </w:r>
    </w:p>
    <w:p w14:paraId="4D0F8B79">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ascii="Times New Roman" w:hAnsi="Times New Roman" w:eastAsia="微软雅黑" w:cs="Times New Roman"/>
          <w:bCs/>
          <w:color w:val="auto"/>
          <w:sz w:val="32"/>
          <w:szCs w:val="32"/>
          <w:highlight w:val="none"/>
        </w:rPr>
      </w:pPr>
      <w:r>
        <w:rPr>
          <w:rStyle w:val="8"/>
          <w:rFonts w:ascii="Times New Roman" w:hAnsi="Times New Roman" w:eastAsia="黑体" w:cs="Times New Roman"/>
          <w:b w:val="0"/>
          <w:bCs/>
          <w:color w:val="auto"/>
          <w:kern w:val="0"/>
          <w:sz w:val="32"/>
          <w:szCs w:val="32"/>
          <w:highlight w:val="none"/>
          <w:shd w:val="clear" w:color="auto" w:fill="FFFFFF"/>
          <w:lang w:bidi="ar"/>
        </w:rPr>
        <w:t>二、编制原则</w:t>
      </w:r>
    </w:p>
    <w:p w14:paraId="77A05186">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ascii="Times New Roman" w:hAnsi="Times New Roman" w:eastAsia="仿宋_GB2312" w:cs="Times New Roman"/>
          <w:color w:val="auto"/>
          <w:kern w:val="0"/>
          <w:sz w:val="32"/>
          <w:szCs w:val="32"/>
          <w:highlight w:val="none"/>
          <w:lang w:bidi="ar"/>
        </w:rPr>
      </w:pPr>
      <w:r>
        <w:rPr>
          <w:rFonts w:ascii="Times New Roman" w:hAnsi="Times New Roman" w:eastAsia="仿宋_GB2312" w:cs="Times New Roman"/>
          <w:b/>
          <w:bCs/>
          <w:color w:val="auto"/>
          <w:kern w:val="0"/>
          <w:sz w:val="32"/>
          <w:szCs w:val="32"/>
          <w:highlight w:val="none"/>
          <w:lang w:bidi="ar"/>
        </w:rPr>
        <w:t>（一）坚持零基预算，强化规范管理</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全面贯彻零基预算理念，打破原有支出基数依赖和固化格局，所有支出项目以零为基点，以学校实际需求和财力状况为编制依据。学校所有收支全部纳入预算管理，实行全口径编制，做到应编尽编、应收尽收，切实增强预算编制的科学性和精准度。</w:t>
      </w:r>
    </w:p>
    <w:p w14:paraId="41D0C55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
        </w:rPr>
      </w:pPr>
      <w:r>
        <w:rPr>
          <w:rFonts w:hint="eastAsia" w:ascii="Times New Roman" w:hAnsi="Times New Roman" w:eastAsia="仿宋_GB2312" w:cs="Times New Roman"/>
          <w:b/>
          <w:bCs/>
          <w:color w:val="auto"/>
          <w:kern w:val="0"/>
          <w:sz w:val="32"/>
          <w:szCs w:val="32"/>
          <w:highlight w:val="none"/>
          <w:lang w:eastAsia="zh-CN" w:bidi="ar"/>
        </w:rPr>
        <w:t>（</w:t>
      </w:r>
      <w:r>
        <w:rPr>
          <w:rFonts w:hint="eastAsia" w:ascii="Times New Roman" w:hAnsi="Times New Roman" w:eastAsia="仿宋_GB2312" w:cs="Times New Roman"/>
          <w:b/>
          <w:bCs/>
          <w:color w:val="auto"/>
          <w:kern w:val="0"/>
          <w:sz w:val="32"/>
          <w:szCs w:val="32"/>
          <w:highlight w:val="none"/>
          <w:lang w:val="en-US" w:eastAsia="zh-CN" w:bidi="ar"/>
        </w:rPr>
        <w:t>二）突出项目引领，集中保障重点。</w:t>
      </w:r>
      <w:r>
        <w:rPr>
          <w:rFonts w:hint="eastAsia" w:ascii="Times New Roman" w:hAnsi="Times New Roman" w:eastAsia="仿宋_GB2312" w:cs="Times New Roman"/>
          <w:b w:val="0"/>
          <w:bCs w:val="0"/>
          <w:color w:val="auto"/>
          <w:kern w:val="0"/>
          <w:sz w:val="32"/>
          <w:szCs w:val="32"/>
          <w:highlight w:val="none"/>
          <w:lang w:val="en-US" w:eastAsia="zh-CN" w:bidi="ar"/>
        </w:rPr>
        <w:t>坚持“先有项目、后有预算”，</w:t>
      </w:r>
      <w:r>
        <w:rPr>
          <w:rFonts w:hint="eastAsia" w:ascii="Times New Roman" w:hAnsi="Times New Roman" w:eastAsia="仿宋_GB2312" w:cs="Times New Roman"/>
          <w:b w:val="0"/>
          <w:bCs w:val="0"/>
          <w:color w:val="auto"/>
          <w:kern w:val="0"/>
          <w:sz w:val="32"/>
          <w:szCs w:val="32"/>
          <w:highlight w:val="none"/>
          <w:shd w:val="clear" w:color="auto" w:fill="auto"/>
          <w:lang w:val="en-US" w:eastAsia="zh-CN" w:bidi="ar"/>
        </w:rPr>
        <w:t>所有新增专项预算支出须纳入学校项目库管理，未入库项目不得安排预算。项目申报</w:t>
      </w:r>
      <w:r>
        <w:rPr>
          <w:rFonts w:hint="eastAsia" w:ascii="Times New Roman" w:hAnsi="Times New Roman" w:eastAsia="仿宋_GB2312" w:cs="Times New Roman"/>
          <w:b w:val="0"/>
          <w:bCs w:val="0"/>
          <w:color w:val="auto"/>
          <w:kern w:val="0"/>
          <w:sz w:val="32"/>
          <w:szCs w:val="32"/>
          <w:highlight w:val="none"/>
          <w:lang w:val="en-US" w:eastAsia="zh-CN" w:bidi="ar"/>
        </w:rPr>
        <w:t>应与学校中</w:t>
      </w:r>
      <w:bookmarkStart w:id="1" w:name="_GoBack"/>
      <w:bookmarkEnd w:id="1"/>
      <w:r>
        <w:rPr>
          <w:rFonts w:hint="eastAsia" w:ascii="Times New Roman" w:hAnsi="Times New Roman" w:eastAsia="仿宋_GB2312" w:cs="Times New Roman"/>
          <w:b w:val="0"/>
          <w:bCs w:val="0"/>
          <w:color w:val="auto"/>
          <w:kern w:val="0"/>
          <w:sz w:val="32"/>
          <w:szCs w:val="32"/>
          <w:highlight w:val="none"/>
          <w:lang w:val="en-US" w:eastAsia="zh-CN" w:bidi="ar"/>
        </w:rPr>
        <w:t>长期发展规划和年度重点任务衔接，按规定评审、分类入库。加强经费统筹和存量盘活，聚焦重点领域与关键任务，集中财力保障2026年度重点工作。</w:t>
      </w:r>
    </w:p>
    <w:p w14:paraId="177E9B16">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b w:val="0"/>
          <w:bCs w:val="0"/>
          <w:color w:val="auto"/>
          <w:kern w:val="0"/>
          <w:sz w:val="32"/>
          <w:szCs w:val="32"/>
          <w:highlight w:val="none"/>
          <w:lang w:val="en-US" w:eastAsia="zh-CN" w:bidi="ar"/>
        </w:rPr>
      </w:pPr>
      <w:r>
        <w:rPr>
          <w:rFonts w:ascii="Times New Roman" w:hAnsi="Times New Roman" w:eastAsia="仿宋_GB2312" w:cs="Times New Roman"/>
          <w:b/>
          <w:bCs/>
          <w:color w:val="auto"/>
          <w:kern w:val="0"/>
          <w:sz w:val="32"/>
          <w:szCs w:val="32"/>
          <w:highlight w:val="none"/>
          <w:lang w:bidi="ar"/>
        </w:rPr>
        <w:t>（</w:t>
      </w:r>
      <w:r>
        <w:rPr>
          <w:rFonts w:hint="eastAsia" w:ascii="Times New Roman" w:hAnsi="Times New Roman" w:eastAsia="仿宋_GB2312" w:cs="Times New Roman"/>
          <w:b/>
          <w:bCs/>
          <w:color w:val="auto"/>
          <w:kern w:val="0"/>
          <w:sz w:val="32"/>
          <w:szCs w:val="32"/>
          <w:highlight w:val="none"/>
          <w:lang w:val="en-US" w:eastAsia="zh-CN" w:bidi="ar"/>
        </w:rPr>
        <w:t>三</w:t>
      </w:r>
      <w:r>
        <w:rPr>
          <w:rFonts w:ascii="Times New Roman" w:hAnsi="Times New Roman" w:eastAsia="仿宋_GB2312" w:cs="Times New Roman"/>
          <w:b/>
          <w:bCs/>
          <w:color w:val="auto"/>
          <w:kern w:val="0"/>
          <w:sz w:val="32"/>
          <w:szCs w:val="32"/>
          <w:highlight w:val="none"/>
          <w:lang w:bidi="ar"/>
        </w:rPr>
        <w:t>）厉行勤俭节约，习惯过紧日子。</w:t>
      </w:r>
      <w:r>
        <w:rPr>
          <w:rFonts w:hint="eastAsia" w:ascii="Times New Roman" w:hAnsi="Times New Roman" w:eastAsia="仿宋_GB2312" w:cs="Times New Roman"/>
          <w:b w:val="0"/>
          <w:bCs w:val="0"/>
          <w:color w:val="auto"/>
          <w:kern w:val="0"/>
          <w:sz w:val="32"/>
          <w:szCs w:val="32"/>
          <w:highlight w:val="none"/>
          <w:lang w:val="en-US" w:eastAsia="zh-CN" w:bidi="ar"/>
        </w:rPr>
        <w:t>坚决落实党政机关过紧日子要求，</w:t>
      </w:r>
      <w:r>
        <w:rPr>
          <w:rFonts w:ascii="仿宋_GB2312" w:hAnsi="仿宋_GB2312" w:eastAsia="仿宋_GB2312" w:cs="仿宋_GB2312"/>
          <w:b w:val="0"/>
          <w:bCs w:val="0"/>
          <w:color w:val="auto"/>
          <w:sz w:val="31"/>
          <w:szCs w:val="31"/>
          <w:highlight w:val="none"/>
        </w:rPr>
        <w:t>从严从紧编制预算</w:t>
      </w:r>
      <w:r>
        <w:rPr>
          <w:rFonts w:hint="eastAsia" w:ascii="仿宋_GB2312" w:hAnsi="仿宋_GB2312" w:eastAsia="仿宋_GB2312" w:cs="仿宋_GB2312"/>
          <w:b w:val="0"/>
          <w:bCs w:val="0"/>
          <w:color w:val="auto"/>
          <w:sz w:val="31"/>
          <w:szCs w:val="31"/>
          <w:highlight w:val="none"/>
          <w:lang w:eastAsia="zh-CN"/>
        </w:rPr>
        <w:t>，</w:t>
      </w:r>
      <w:r>
        <w:rPr>
          <w:rFonts w:hint="eastAsia" w:ascii="仿宋_GB2312" w:hAnsi="仿宋_GB2312" w:eastAsia="仿宋_GB2312" w:cs="仿宋_GB2312"/>
          <w:b w:val="0"/>
          <w:bCs w:val="0"/>
          <w:color w:val="auto"/>
          <w:sz w:val="31"/>
          <w:szCs w:val="31"/>
          <w:highlight w:val="none"/>
          <w:lang w:val="en-US" w:eastAsia="zh-CN"/>
        </w:rPr>
        <w:t>严控</w:t>
      </w:r>
      <w:r>
        <w:rPr>
          <w:rFonts w:hint="eastAsia" w:ascii="Times New Roman" w:hAnsi="Times New Roman" w:eastAsia="仿宋_GB2312" w:cs="Times New Roman"/>
          <w:b w:val="0"/>
          <w:bCs w:val="0"/>
          <w:color w:val="auto"/>
          <w:kern w:val="0"/>
          <w:sz w:val="32"/>
          <w:szCs w:val="32"/>
          <w:highlight w:val="none"/>
          <w:lang w:val="en-US" w:eastAsia="zh-CN" w:bidi="ar"/>
        </w:rPr>
        <w:t>一般性支出，大力压减非刚性、非重点项目。除学校正式确定且依据充分的项目外，原则上不得新增支出，推动资源集约使用，强化成本控制，提升运行效能。</w:t>
      </w:r>
    </w:p>
    <w:p w14:paraId="2947D345">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Times New Roman" w:hAnsi="Times New Roman" w:eastAsia="仿宋_GB2312" w:cs="Times New Roman"/>
          <w:color w:val="auto"/>
          <w:kern w:val="0"/>
          <w:sz w:val="32"/>
          <w:szCs w:val="32"/>
          <w:highlight w:val="none"/>
          <w:lang w:val="en-US" w:eastAsia="zh-CN" w:bidi="ar"/>
        </w:rPr>
      </w:pPr>
      <w:r>
        <w:rPr>
          <w:rFonts w:ascii="Times New Roman" w:hAnsi="Times New Roman" w:eastAsia="仿宋_GB2312" w:cs="Times New Roman"/>
          <w:b/>
          <w:bCs/>
          <w:color w:val="auto"/>
          <w:kern w:val="0"/>
          <w:sz w:val="32"/>
          <w:szCs w:val="32"/>
          <w:highlight w:val="none"/>
          <w:lang w:bidi="ar"/>
        </w:rPr>
        <w:t>（四）深化绩效管理，</w:t>
      </w:r>
      <w:r>
        <w:rPr>
          <w:rFonts w:hint="eastAsia" w:ascii="Times New Roman" w:hAnsi="Times New Roman" w:eastAsia="仿宋_GB2312" w:cs="Times New Roman"/>
          <w:b/>
          <w:bCs/>
          <w:color w:val="auto"/>
          <w:kern w:val="0"/>
          <w:sz w:val="32"/>
          <w:szCs w:val="32"/>
          <w:highlight w:val="none"/>
          <w:lang w:val="en-US" w:eastAsia="zh-CN" w:bidi="ar"/>
        </w:rPr>
        <w:t>提升资金效益。</w:t>
      </w:r>
      <w:r>
        <w:rPr>
          <w:rFonts w:hint="eastAsia" w:ascii="Times New Roman" w:hAnsi="Times New Roman" w:eastAsia="仿宋_GB2312" w:cs="Times New Roman"/>
          <w:color w:val="auto"/>
          <w:kern w:val="0"/>
          <w:sz w:val="32"/>
          <w:szCs w:val="32"/>
          <w:highlight w:val="none"/>
          <w:lang w:val="en-US" w:eastAsia="zh-CN" w:bidi="ar"/>
        </w:rPr>
        <w:t>全面推行预算绩效管理</w:t>
      </w:r>
      <w:r>
        <w:rPr>
          <w:rFonts w:hint="default" w:ascii="Times New Roman" w:hAnsi="Times New Roman" w:eastAsia="仿宋_GB2312" w:cs="Times New Roman"/>
          <w:color w:val="auto"/>
          <w:kern w:val="0"/>
          <w:sz w:val="32"/>
          <w:szCs w:val="32"/>
          <w:highlight w:val="none"/>
          <w:lang w:val="en-US" w:eastAsia="zh-CN" w:bidi="ar"/>
        </w:rPr>
        <w:t>，</w:t>
      </w:r>
      <w:r>
        <w:rPr>
          <w:rFonts w:hint="eastAsia" w:ascii="Times New Roman" w:hAnsi="Times New Roman" w:eastAsia="仿宋_GB2312" w:cs="Times New Roman"/>
          <w:color w:val="auto"/>
          <w:kern w:val="0"/>
          <w:sz w:val="32"/>
          <w:szCs w:val="32"/>
          <w:highlight w:val="none"/>
          <w:lang w:val="en-US" w:eastAsia="zh-CN" w:bidi="ar"/>
        </w:rPr>
        <w:t>结合项目实际科学</w:t>
      </w:r>
      <w:r>
        <w:rPr>
          <w:rFonts w:hint="default" w:ascii="Times New Roman" w:hAnsi="Times New Roman" w:eastAsia="仿宋_GB2312" w:cs="Times New Roman"/>
          <w:color w:val="auto"/>
          <w:kern w:val="0"/>
          <w:sz w:val="32"/>
          <w:szCs w:val="32"/>
          <w:highlight w:val="none"/>
          <w:lang w:val="en-US" w:eastAsia="zh-CN" w:bidi="ar"/>
        </w:rPr>
        <w:t>测算项目资金</w:t>
      </w:r>
      <w:r>
        <w:rPr>
          <w:rFonts w:hint="eastAsia" w:ascii="Times New Roman" w:hAnsi="Times New Roman" w:eastAsia="仿宋_GB2312" w:cs="Times New Roman"/>
          <w:color w:val="auto"/>
          <w:kern w:val="0"/>
          <w:sz w:val="32"/>
          <w:szCs w:val="32"/>
          <w:highlight w:val="none"/>
          <w:lang w:val="en-US" w:eastAsia="zh-CN" w:bidi="ar"/>
        </w:rPr>
        <w:t>需求，合理设定绩效目标，形成“事前评估、事中监控、事后评价”的闭环管理体系。</w:t>
      </w:r>
      <w:r>
        <w:rPr>
          <w:rFonts w:hint="default" w:ascii="Times New Roman" w:hAnsi="Times New Roman" w:eastAsia="仿宋_GB2312" w:cs="Times New Roman"/>
          <w:color w:val="auto"/>
          <w:kern w:val="0"/>
          <w:sz w:val="32"/>
          <w:szCs w:val="32"/>
          <w:highlight w:val="none"/>
          <w:lang w:val="en-US" w:eastAsia="zh-CN" w:bidi="ar"/>
        </w:rPr>
        <w:t>强化成本效益意识</w:t>
      </w:r>
      <w:r>
        <w:rPr>
          <w:rFonts w:hint="eastAsia" w:ascii="Times New Roman" w:hAnsi="Times New Roman" w:eastAsia="仿宋_GB2312" w:cs="Times New Roman"/>
          <w:color w:val="auto"/>
          <w:kern w:val="0"/>
          <w:sz w:val="32"/>
          <w:szCs w:val="32"/>
          <w:highlight w:val="none"/>
          <w:lang w:val="en-US" w:eastAsia="zh-CN" w:bidi="ar"/>
        </w:rPr>
        <w:t>和</w:t>
      </w:r>
      <w:r>
        <w:rPr>
          <w:rFonts w:hint="default" w:ascii="Times New Roman" w:hAnsi="Times New Roman" w:eastAsia="仿宋_GB2312" w:cs="Times New Roman"/>
          <w:color w:val="auto"/>
          <w:kern w:val="0"/>
          <w:sz w:val="32"/>
          <w:szCs w:val="32"/>
          <w:highlight w:val="none"/>
          <w:lang w:val="en-US" w:eastAsia="zh-CN" w:bidi="ar"/>
        </w:rPr>
        <w:t>支出责任</w:t>
      </w:r>
      <w:r>
        <w:rPr>
          <w:rFonts w:hint="eastAsia" w:ascii="Times New Roman" w:hAnsi="Times New Roman" w:eastAsia="仿宋_GB2312" w:cs="Times New Roman"/>
          <w:color w:val="auto"/>
          <w:kern w:val="0"/>
          <w:sz w:val="32"/>
          <w:szCs w:val="32"/>
          <w:highlight w:val="none"/>
          <w:lang w:val="en-US" w:eastAsia="zh-CN" w:bidi="ar"/>
        </w:rPr>
        <w:t>，加强绩效监控和评价结果应用，硬化预算执行刚性约束，确保“花钱必问效、无效必问责”。</w:t>
      </w:r>
    </w:p>
    <w:p w14:paraId="35B89D5A">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Style w:val="8"/>
          <w:rFonts w:ascii="Times New Roman" w:hAnsi="Times New Roman" w:eastAsia="黑体" w:cs="Times New Roman"/>
          <w:b w:val="0"/>
          <w:bCs/>
          <w:color w:val="auto"/>
          <w:kern w:val="0"/>
          <w:sz w:val="32"/>
          <w:szCs w:val="32"/>
          <w:highlight w:val="none"/>
          <w:shd w:val="clear" w:color="auto" w:fill="FFFFFF"/>
          <w:lang w:bidi="ar"/>
        </w:rPr>
      </w:pPr>
      <w:r>
        <w:rPr>
          <w:rStyle w:val="8"/>
          <w:rFonts w:ascii="Times New Roman" w:hAnsi="Times New Roman" w:eastAsia="黑体" w:cs="Times New Roman"/>
          <w:b w:val="0"/>
          <w:bCs/>
          <w:color w:val="auto"/>
          <w:kern w:val="0"/>
          <w:sz w:val="32"/>
          <w:szCs w:val="32"/>
          <w:highlight w:val="none"/>
          <w:shd w:val="clear" w:color="auto" w:fill="FFFFFF"/>
          <w:lang w:bidi="ar"/>
        </w:rPr>
        <w:t>三、预算编制具体要求</w:t>
      </w:r>
    </w:p>
    <w:p w14:paraId="21F3F9F3">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420"/>
        <w:jc w:val="left"/>
        <w:textAlignment w:val="auto"/>
        <w:rPr>
          <w:rFonts w:ascii="Times New Roman" w:hAnsi="Times New Roman" w:eastAsia="楷体_GB2312" w:cs="Times New Roman"/>
          <w:color w:val="auto"/>
          <w:sz w:val="32"/>
          <w:szCs w:val="32"/>
          <w:highlight w:val="none"/>
        </w:rPr>
      </w:pPr>
      <w:r>
        <w:rPr>
          <w:rStyle w:val="8"/>
          <w:rFonts w:ascii="Times New Roman" w:hAnsi="Times New Roman" w:eastAsia="楷体_GB2312" w:cs="Times New Roman"/>
          <w:color w:val="auto"/>
          <w:kern w:val="0"/>
          <w:sz w:val="32"/>
          <w:szCs w:val="32"/>
          <w:highlight w:val="none"/>
          <w:shd w:val="clear" w:color="auto" w:fill="FFFFFF"/>
          <w:lang w:bidi="ar"/>
        </w:rPr>
        <w:t>（一）编制范围</w:t>
      </w:r>
    </w:p>
    <w:p w14:paraId="74A126A6">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ascii="Times New Roman" w:hAnsi="Times New Roman" w:eastAsia="仿宋_GB2312" w:cs="Times New Roman"/>
          <w:color w:val="auto"/>
          <w:kern w:val="0"/>
          <w:sz w:val="32"/>
          <w:szCs w:val="32"/>
          <w:highlight w:val="none"/>
          <w:lang w:bidi="ar"/>
        </w:rPr>
      </w:pPr>
      <w:r>
        <w:rPr>
          <w:rFonts w:ascii="Times New Roman" w:hAnsi="Times New Roman" w:eastAsia="仿宋_GB2312" w:cs="Times New Roman"/>
          <w:color w:val="auto"/>
          <w:kern w:val="0"/>
          <w:sz w:val="32"/>
          <w:szCs w:val="32"/>
          <w:highlight w:val="none"/>
          <w:lang w:bidi="ar"/>
        </w:rPr>
        <w:t>预算编制单位为全校各部门、各学院。各部门预算由本部门及所分管工作领域的全校性经费预算组成，其中专项经费预算根据支出类别报归口管理职能部门审核。二级学院一般业务经费预算由计财处根据教师及学生人数统一测算并按定额核拨，各学院根据计财处测算下达数编制。部门和学院要对预算完整性、规范性和执行结果负责。</w:t>
      </w:r>
    </w:p>
    <w:p w14:paraId="423126BF">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420"/>
        <w:jc w:val="left"/>
        <w:textAlignment w:val="auto"/>
        <w:rPr>
          <w:rStyle w:val="8"/>
          <w:rFonts w:ascii="Times New Roman" w:hAnsi="Times New Roman" w:eastAsia="楷体_GB2312" w:cs="Times New Roman"/>
          <w:color w:val="auto"/>
          <w:kern w:val="0"/>
          <w:sz w:val="32"/>
          <w:szCs w:val="32"/>
          <w:highlight w:val="none"/>
          <w:shd w:val="clear" w:color="auto" w:fill="FFFFFF"/>
          <w:lang w:bidi="ar"/>
        </w:rPr>
      </w:pPr>
      <w:r>
        <w:rPr>
          <w:rStyle w:val="8"/>
          <w:rFonts w:ascii="Times New Roman" w:hAnsi="Times New Roman" w:eastAsia="楷体_GB2312" w:cs="Times New Roman"/>
          <w:color w:val="auto"/>
          <w:kern w:val="0"/>
          <w:sz w:val="32"/>
          <w:szCs w:val="32"/>
          <w:highlight w:val="none"/>
          <w:shd w:val="clear" w:color="auto" w:fill="FFFFFF"/>
          <w:lang w:bidi="ar"/>
        </w:rPr>
        <w:t>（二）收入预算</w:t>
      </w:r>
    </w:p>
    <w:p w14:paraId="108048D7">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eastAsia" w:ascii="Times New Roman" w:hAnsi="Times New Roman" w:eastAsia="仿宋_GB2312" w:cs="Times New Roman"/>
          <w:color w:val="auto"/>
          <w:kern w:val="0"/>
          <w:sz w:val="32"/>
          <w:szCs w:val="32"/>
          <w:highlight w:val="none"/>
          <w:lang w:eastAsia="zh-CN" w:bidi="ar"/>
        </w:rPr>
      </w:pPr>
      <w:r>
        <w:rPr>
          <w:rFonts w:ascii="Times New Roman" w:hAnsi="Times New Roman" w:eastAsia="仿宋_GB2312" w:cs="Times New Roman"/>
          <w:color w:val="auto"/>
          <w:kern w:val="0"/>
          <w:sz w:val="32"/>
          <w:szCs w:val="32"/>
          <w:highlight w:val="none"/>
          <w:lang w:bidi="ar"/>
        </w:rPr>
        <w:t>收入预算依据国家政策，结合学校实际情况，认真核实收入来源，</w:t>
      </w:r>
      <w:r>
        <w:rPr>
          <w:rFonts w:hint="eastAsia" w:ascii="Times New Roman" w:hAnsi="Times New Roman" w:eastAsia="仿宋_GB2312" w:cs="Times New Roman"/>
          <w:color w:val="auto"/>
          <w:kern w:val="0"/>
          <w:sz w:val="32"/>
          <w:szCs w:val="32"/>
          <w:highlight w:val="none"/>
          <w:lang w:val="en-US" w:eastAsia="zh-CN" w:bidi="ar"/>
        </w:rPr>
        <w:t>编制全口径预算收入，</w:t>
      </w:r>
      <w:r>
        <w:rPr>
          <w:rFonts w:hint="eastAsia" w:ascii="Times New Roman" w:hAnsi="Times New Roman" w:eastAsia="仿宋_GB2312" w:cs="Times New Roman"/>
          <w:color w:val="auto"/>
          <w:kern w:val="0"/>
          <w:sz w:val="32"/>
          <w:szCs w:val="32"/>
          <w:highlight w:val="none"/>
          <w:lang w:bidi="ar"/>
        </w:rPr>
        <w:t>既要挖掘潜力、积极创收，又要科学测算、稳妥编制</w:t>
      </w:r>
      <w:r>
        <w:rPr>
          <w:rFonts w:hint="eastAsia" w:ascii="Times New Roman" w:hAnsi="Times New Roman" w:eastAsia="仿宋_GB2312" w:cs="Times New Roman"/>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未纳入预算的收入不得安排支出。各单位需负责编制职责范围内涉及的各类收入</w:t>
      </w:r>
      <w:r>
        <w:rPr>
          <w:rFonts w:ascii="Times New Roman" w:hAnsi="Times New Roman" w:eastAsia="仿宋_GB2312" w:cs="Times New Roman"/>
          <w:b/>
          <w:bCs/>
          <w:color w:val="auto"/>
          <w:kern w:val="0"/>
          <w:sz w:val="32"/>
          <w:szCs w:val="32"/>
          <w:highlight w:val="none"/>
          <w:lang w:bidi="ar"/>
        </w:rPr>
        <w:t>（</w:t>
      </w:r>
      <w:r>
        <w:rPr>
          <w:rFonts w:hint="eastAsia" w:ascii="Times New Roman" w:hAnsi="Times New Roman" w:eastAsia="仿宋_GB2312" w:cs="Times New Roman"/>
          <w:b/>
          <w:bCs/>
          <w:color w:val="auto"/>
          <w:kern w:val="0"/>
          <w:sz w:val="32"/>
          <w:szCs w:val="32"/>
          <w:highlight w:val="none"/>
          <w:lang w:bidi="ar"/>
        </w:rPr>
        <w:t>填报</w:t>
      </w:r>
      <w:r>
        <w:rPr>
          <w:rFonts w:ascii="Times New Roman" w:hAnsi="Times New Roman" w:eastAsia="仿宋_GB2312" w:cs="Times New Roman"/>
          <w:b/>
          <w:bCs/>
          <w:color w:val="auto"/>
          <w:kern w:val="0"/>
          <w:sz w:val="32"/>
          <w:szCs w:val="32"/>
          <w:highlight w:val="none"/>
          <w:lang w:bidi="ar"/>
        </w:rPr>
        <w:t>收入预算表1）</w:t>
      </w:r>
      <w:r>
        <w:rPr>
          <w:rFonts w:ascii="Times New Roman" w:hAnsi="Times New Roman" w:eastAsia="仿宋_GB2312" w:cs="Times New Roman"/>
          <w:color w:val="auto"/>
          <w:kern w:val="0"/>
          <w:sz w:val="32"/>
          <w:szCs w:val="32"/>
          <w:highlight w:val="none"/>
          <w:lang w:bidi="ar"/>
        </w:rPr>
        <w:t>。收入与以前年度变化较大的，需说明原因。</w:t>
      </w:r>
      <w:r>
        <w:rPr>
          <w:rFonts w:hint="eastAsia" w:ascii="Times New Roman" w:hAnsi="Times New Roman" w:eastAsia="仿宋_GB2312" w:cs="Times New Roman"/>
          <w:color w:val="auto"/>
          <w:kern w:val="0"/>
          <w:sz w:val="32"/>
          <w:szCs w:val="32"/>
          <w:highlight w:val="none"/>
          <w:lang w:val="en-US" w:eastAsia="zh-CN" w:bidi="ar"/>
        </w:rPr>
        <w:t>收入预算编制及负责单位如下：</w:t>
      </w:r>
    </w:p>
    <w:p w14:paraId="047E0DD8">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1.财政拨款收入，由计划财务处根据2026年浙江省部门预算编制办法进行编报。</w:t>
      </w:r>
    </w:p>
    <w:p w14:paraId="46A57BE8">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2.普通本专科生及研究生学费、住宿费收入，由计划财务处按收费标准编报；</w:t>
      </w:r>
    </w:p>
    <w:p w14:paraId="78CCD7C3">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3.研究生学费收入，根据研究生院提供的各类学生人数，由计划财务处根据收费标准编报；</w:t>
      </w:r>
    </w:p>
    <w:p w14:paraId="59B04FDC">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4.留学生学费收入，由国际交流合作处负责编制；</w:t>
      </w:r>
    </w:p>
    <w:p w14:paraId="1023A6A0">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5.社会培训收入，请各部门、学院先报至社会合作处，汇总后报送至计划财务处。</w:t>
      </w:r>
    </w:p>
    <w:p w14:paraId="5A9C96E7">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6.考试、报名费收入等，由</w:t>
      </w:r>
      <w:r>
        <w:rPr>
          <w:rFonts w:hint="eastAsia" w:ascii="Times New Roman" w:hAnsi="Times New Roman" w:eastAsia="仿宋_GB2312" w:cs="Times New Roman"/>
          <w:color w:val="auto"/>
          <w:kern w:val="0"/>
          <w:sz w:val="32"/>
          <w:szCs w:val="32"/>
          <w:highlight w:val="none"/>
          <w:shd w:val="clear" w:color="auto" w:fill="auto"/>
          <w:lang w:val="en-US" w:eastAsia="zh-CN" w:bidi="ar"/>
        </w:rPr>
        <w:t>教务处、继教学院、学生工作</w:t>
      </w:r>
      <w:r>
        <w:rPr>
          <w:rFonts w:hint="eastAsia" w:ascii="Times New Roman" w:hAnsi="Times New Roman" w:eastAsia="仿宋_GB2312" w:cs="Times New Roman"/>
          <w:color w:val="auto"/>
          <w:kern w:val="0"/>
          <w:sz w:val="32"/>
          <w:szCs w:val="32"/>
          <w:highlight w:val="none"/>
          <w:lang w:val="en-US" w:eastAsia="zh-CN" w:bidi="ar"/>
        </w:rPr>
        <w:t>部负责编制；</w:t>
      </w:r>
    </w:p>
    <w:p w14:paraId="3ADADA18">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7.科研经费收入，由相关科研部门负责编制；</w:t>
      </w:r>
    </w:p>
    <w:p w14:paraId="79E22F3C">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8.社会捐赠收入，由社会合作处负责编制；</w:t>
      </w:r>
    </w:p>
    <w:p w14:paraId="33AD045E">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9.其他收入预算，由涉及其他收入的单位编制申报。</w:t>
      </w:r>
    </w:p>
    <w:p w14:paraId="22506B98">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60" w:lineRule="exact"/>
        <w:ind w:left="0" w:leftChars="0" w:firstLine="525" w:firstLineChars="0"/>
        <w:jc w:val="both"/>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学校总收入预算由财务处汇总各单位上报数据编制。</w:t>
      </w:r>
    </w:p>
    <w:p w14:paraId="00038D0C">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left="0" w:leftChars="0" w:firstLine="420"/>
        <w:jc w:val="left"/>
        <w:textAlignment w:val="auto"/>
        <w:rPr>
          <w:rStyle w:val="8"/>
          <w:rFonts w:ascii="Times New Roman" w:hAnsi="Times New Roman" w:eastAsia="楷体_GB2312" w:cs="Times New Roman"/>
          <w:color w:val="auto"/>
          <w:kern w:val="0"/>
          <w:sz w:val="32"/>
          <w:szCs w:val="32"/>
          <w:highlight w:val="none"/>
          <w:shd w:val="clear" w:color="auto" w:fill="FFFFFF"/>
          <w:lang w:bidi="ar"/>
        </w:rPr>
      </w:pPr>
      <w:r>
        <w:rPr>
          <w:rStyle w:val="8"/>
          <w:rFonts w:ascii="Times New Roman" w:hAnsi="Times New Roman" w:eastAsia="楷体_GB2312" w:cs="Times New Roman"/>
          <w:color w:val="auto"/>
          <w:kern w:val="0"/>
          <w:sz w:val="32"/>
          <w:szCs w:val="32"/>
          <w:highlight w:val="none"/>
          <w:shd w:val="clear" w:color="auto" w:fill="FFFFFF"/>
          <w:lang w:bidi="ar"/>
        </w:rPr>
        <w:t>支出预算</w:t>
      </w:r>
    </w:p>
    <w:p w14:paraId="77391099">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ascii="Times New Roman" w:hAnsi="Times New Roman" w:eastAsia="仿宋_GB2312" w:cs="Times New Roman"/>
          <w:color w:val="auto"/>
          <w:kern w:val="0"/>
          <w:sz w:val="32"/>
          <w:szCs w:val="32"/>
          <w:highlight w:val="none"/>
          <w:lang w:bidi="ar"/>
        </w:rPr>
      </w:pPr>
      <w:r>
        <w:rPr>
          <w:rFonts w:ascii="Times New Roman" w:hAnsi="Times New Roman" w:eastAsia="仿宋_GB2312" w:cs="Times New Roman"/>
          <w:color w:val="auto"/>
          <w:kern w:val="0"/>
          <w:sz w:val="32"/>
          <w:szCs w:val="32"/>
          <w:highlight w:val="none"/>
          <w:lang w:bidi="ar"/>
        </w:rPr>
        <w:t>2026年度学校支出预算包括</w:t>
      </w:r>
      <w:r>
        <w:rPr>
          <w:rFonts w:hint="eastAsia" w:ascii="Times New Roman" w:hAnsi="Times New Roman" w:eastAsia="仿宋_GB2312" w:cs="Times New Roman"/>
          <w:color w:val="auto"/>
          <w:kern w:val="0"/>
          <w:sz w:val="32"/>
          <w:szCs w:val="32"/>
          <w:highlight w:val="none"/>
          <w:lang w:val="en-US" w:eastAsia="zh-CN" w:bidi="ar"/>
        </w:rPr>
        <w:t>人员支出</w:t>
      </w:r>
      <w:r>
        <w:rPr>
          <w:rFonts w:hint="eastAsia" w:ascii="Times New Roman" w:hAnsi="Times New Roman" w:eastAsia="仿宋_GB2312" w:cs="Times New Roman"/>
          <w:color w:val="auto"/>
          <w:kern w:val="0"/>
          <w:sz w:val="32"/>
          <w:szCs w:val="32"/>
          <w:highlight w:val="none"/>
          <w:lang w:eastAsia="zh-CN" w:bidi="ar"/>
        </w:rPr>
        <w:t>、</w:t>
      </w:r>
      <w:r>
        <w:rPr>
          <w:rFonts w:hint="eastAsia" w:ascii="Times New Roman" w:hAnsi="Times New Roman" w:eastAsia="仿宋_GB2312" w:cs="Times New Roman"/>
          <w:color w:val="auto"/>
          <w:kern w:val="0"/>
          <w:sz w:val="32"/>
          <w:szCs w:val="32"/>
          <w:highlight w:val="none"/>
          <w:lang w:val="en-US" w:eastAsia="zh-CN" w:bidi="ar"/>
        </w:rPr>
        <w:t>运行支出和专项项目支出三个部分</w:t>
      </w:r>
      <w:r>
        <w:rPr>
          <w:rFonts w:ascii="Times New Roman" w:hAnsi="Times New Roman" w:eastAsia="仿宋_GB2312" w:cs="Times New Roman"/>
          <w:color w:val="auto"/>
          <w:kern w:val="0"/>
          <w:sz w:val="32"/>
          <w:szCs w:val="32"/>
          <w:highlight w:val="none"/>
          <w:lang w:bidi="ar"/>
        </w:rPr>
        <w:t>。各部门、各学院要根据预算编制指导思想和编制原则，采用零基预算和综合预算方法编制202</w:t>
      </w:r>
      <w:r>
        <w:rPr>
          <w:rFonts w:hint="eastAsia" w:ascii="Times New Roman" w:hAnsi="Times New Roman" w:eastAsia="仿宋_GB2312" w:cs="Times New Roman"/>
          <w:color w:val="auto"/>
          <w:kern w:val="0"/>
          <w:sz w:val="32"/>
          <w:szCs w:val="32"/>
          <w:highlight w:val="none"/>
          <w:lang w:val="en-US" w:eastAsia="zh-CN" w:bidi="ar"/>
        </w:rPr>
        <w:t>6</w:t>
      </w:r>
      <w:r>
        <w:rPr>
          <w:rFonts w:ascii="Times New Roman" w:hAnsi="Times New Roman" w:eastAsia="仿宋_GB2312" w:cs="Times New Roman"/>
          <w:color w:val="auto"/>
          <w:kern w:val="0"/>
          <w:sz w:val="32"/>
          <w:szCs w:val="32"/>
          <w:highlight w:val="none"/>
          <w:lang w:bidi="ar"/>
        </w:rPr>
        <w:t>年支出预算。</w:t>
      </w:r>
    </w:p>
    <w:p w14:paraId="77A5D82C">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ascii="Times New Roman" w:hAnsi="Times New Roman" w:eastAsia="仿宋_GB2312" w:cs="Times New Roman"/>
          <w:color w:val="auto"/>
          <w:kern w:val="0"/>
          <w:sz w:val="32"/>
          <w:szCs w:val="32"/>
          <w:highlight w:val="none"/>
          <w:lang w:bidi="ar"/>
        </w:rPr>
      </w:pPr>
      <w:r>
        <w:rPr>
          <w:rFonts w:ascii="Times New Roman" w:hAnsi="Times New Roman" w:eastAsia="仿宋_GB2312" w:cs="Times New Roman"/>
          <w:b/>
          <w:bCs/>
          <w:color w:val="auto"/>
          <w:kern w:val="0"/>
          <w:sz w:val="32"/>
          <w:szCs w:val="32"/>
          <w:highlight w:val="none"/>
          <w:lang w:bidi="ar"/>
        </w:rPr>
        <w:t>1.</w:t>
      </w:r>
      <w:r>
        <w:rPr>
          <w:rFonts w:hint="eastAsia" w:ascii="Times New Roman" w:hAnsi="Times New Roman" w:eastAsia="仿宋_GB2312" w:cs="Times New Roman"/>
          <w:b/>
          <w:bCs/>
          <w:color w:val="auto"/>
          <w:kern w:val="0"/>
          <w:sz w:val="32"/>
          <w:szCs w:val="32"/>
          <w:highlight w:val="none"/>
          <w:lang w:val="en-US" w:eastAsia="zh-CN" w:bidi="ar"/>
        </w:rPr>
        <w:t xml:space="preserve"> 人员</w:t>
      </w:r>
      <w:r>
        <w:rPr>
          <w:rFonts w:ascii="Times New Roman" w:hAnsi="Times New Roman" w:eastAsia="仿宋_GB2312" w:cs="Times New Roman"/>
          <w:b/>
          <w:bCs/>
          <w:color w:val="auto"/>
          <w:kern w:val="0"/>
          <w:sz w:val="32"/>
          <w:szCs w:val="32"/>
          <w:highlight w:val="none"/>
          <w:lang w:bidi="ar"/>
        </w:rPr>
        <w:t>支出预算</w:t>
      </w:r>
    </w:p>
    <w:p w14:paraId="36C11EDE">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ascii="Times New Roman" w:hAnsi="Times New Roman" w:eastAsia="仿宋_GB2312" w:cs="Times New Roman"/>
          <w:color w:val="auto"/>
          <w:kern w:val="0"/>
          <w:sz w:val="32"/>
          <w:szCs w:val="32"/>
          <w:highlight w:val="none"/>
          <w:lang w:bidi="ar"/>
        </w:rPr>
      </w:pPr>
      <w:r>
        <w:rPr>
          <w:rFonts w:ascii="Times New Roman" w:hAnsi="Times New Roman" w:eastAsia="仿宋_GB2312" w:cs="Times New Roman"/>
          <w:color w:val="auto"/>
          <w:kern w:val="0"/>
          <w:sz w:val="32"/>
          <w:szCs w:val="32"/>
          <w:highlight w:val="none"/>
          <w:lang w:bidi="ar"/>
        </w:rPr>
        <w:t>由人事处等相关部门根据省市有关政策、学校《岗位绩效工资实施办法》及《二级学院绩效工资总额核拨办法》等制度进行安排。</w:t>
      </w:r>
    </w:p>
    <w:p w14:paraId="797EE790">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60" w:lineRule="exact"/>
        <w:ind w:left="0" w:leftChars="0" w:firstLine="555"/>
        <w:textAlignment w:val="auto"/>
        <w:rPr>
          <w:rFonts w:hint="default" w:ascii="Times New Roman" w:hAnsi="Times New Roman" w:eastAsia="仿宋_GB2312" w:cs="Times New Roman"/>
          <w:b/>
          <w:bCs/>
          <w:color w:val="auto"/>
          <w:kern w:val="0"/>
          <w:sz w:val="32"/>
          <w:szCs w:val="32"/>
          <w:highlight w:val="none"/>
          <w:lang w:val="en-US" w:eastAsia="zh-CN" w:bidi="ar"/>
        </w:rPr>
      </w:pPr>
      <w:r>
        <w:rPr>
          <w:rFonts w:hint="eastAsia" w:ascii="Times New Roman" w:hAnsi="Times New Roman" w:eastAsia="仿宋_GB2312" w:cs="Times New Roman"/>
          <w:b/>
          <w:bCs/>
          <w:color w:val="auto"/>
          <w:kern w:val="0"/>
          <w:sz w:val="32"/>
          <w:szCs w:val="32"/>
          <w:highlight w:val="none"/>
          <w:lang w:val="en-US" w:eastAsia="zh-CN" w:bidi="ar"/>
        </w:rPr>
        <w:t>运行支出预算</w:t>
      </w:r>
    </w:p>
    <w:p w14:paraId="2014DE97">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eastAsia" w:ascii="Times New Roman" w:hAnsi="Times New Roman" w:eastAsia="仿宋_GB2312" w:cs="Times New Roman"/>
          <w:color w:val="auto"/>
          <w:kern w:val="0"/>
          <w:sz w:val="32"/>
          <w:szCs w:val="32"/>
          <w:highlight w:val="none"/>
          <w:lang w:val="en-US" w:eastAsia="zh-CN" w:bidi="ar"/>
        </w:rPr>
      </w:pPr>
      <w:r>
        <w:rPr>
          <w:rFonts w:ascii="Times New Roman" w:hAnsi="Times New Roman" w:eastAsia="仿宋_GB2312" w:cs="Times New Roman"/>
          <w:color w:val="auto"/>
          <w:kern w:val="0"/>
          <w:sz w:val="32"/>
          <w:szCs w:val="32"/>
          <w:highlight w:val="none"/>
          <w:lang w:val="en-US" w:eastAsia="zh-CN" w:bidi="ar"/>
        </w:rPr>
        <w:t>运行支出是指维持学校事业正常运转、完成日常工作任</w:t>
      </w:r>
      <w:r>
        <w:rPr>
          <w:rFonts w:hint="eastAsia" w:ascii="Times New Roman" w:hAnsi="Times New Roman" w:eastAsia="仿宋_GB2312" w:cs="Times New Roman"/>
          <w:color w:val="auto"/>
          <w:kern w:val="0"/>
          <w:sz w:val="32"/>
          <w:szCs w:val="32"/>
          <w:highlight w:val="none"/>
          <w:lang w:val="en-US" w:eastAsia="zh-CN" w:bidi="ar"/>
        </w:rPr>
        <w:t>务所发生的支出。</w:t>
      </w:r>
      <w:r>
        <w:rPr>
          <w:rFonts w:ascii="Times New Roman" w:hAnsi="Times New Roman" w:eastAsia="仿宋_GB2312" w:cs="Times New Roman"/>
          <w:color w:val="auto"/>
          <w:kern w:val="0"/>
          <w:sz w:val="32"/>
          <w:szCs w:val="32"/>
          <w:highlight w:val="none"/>
          <w:lang w:bidi="ar"/>
        </w:rPr>
        <w:t>由各部门根据年度工作任务，结合20</w:t>
      </w:r>
      <w:r>
        <w:rPr>
          <w:rFonts w:hint="eastAsia" w:ascii="Times New Roman" w:hAnsi="Times New Roman" w:eastAsia="仿宋_GB2312" w:cs="Times New Roman"/>
          <w:color w:val="auto"/>
          <w:kern w:val="0"/>
          <w:sz w:val="32"/>
          <w:szCs w:val="32"/>
          <w:highlight w:val="none"/>
          <w:lang w:val="en-US" w:eastAsia="zh-CN" w:bidi="ar"/>
        </w:rPr>
        <w:t>25</w:t>
      </w:r>
      <w:r>
        <w:rPr>
          <w:rFonts w:ascii="Times New Roman" w:hAnsi="Times New Roman" w:eastAsia="仿宋_GB2312" w:cs="Times New Roman"/>
          <w:color w:val="auto"/>
          <w:kern w:val="0"/>
          <w:sz w:val="32"/>
          <w:szCs w:val="32"/>
          <w:highlight w:val="none"/>
          <w:lang w:bidi="ar"/>
        </w:rPr>
        <w:t>年预算执行情况</w:t>
      </w:r>
      <w:r>
        <w:rPr>
          <w:rFonts w:ascii="Times New Roman" w:hAnsi="Times New Roman" w:eastAsia="仿宋_GB2312" w:cs="Times New Roman"/>
          <w:color w:val="auto"/>
          <w:sz w:val="32"/>
          <w:szCs w:val="32"/>
          <w:highlight w:val="none"/>
        </w:rPr>
        <w:t>逐项</w:t>
      </w:r>
      <w:r>
        <w:rPr>
          <w:rFonts w:ascii="Times New Roman" w:hAnsi="Times New Roman" w:eastAsia="仿宋_GB2312" w:cs="Times New Roman"/>
          <w:color w:val="auto"/>
          <w:kern w:val="0"/>
          <w:sz w:val="32"/>
          <w:szCs w:val="32"/>
          <w:highlight w:val="none"/>
          <w:lang w:bidi="ar"/>
        </w:rPr>
        <w:t>填报</w:t>
      </w:r>
      <w:r>
        <w:rPr>
          <w:rFonts w:ascii="Times New Roman" w:hAnsi="Times New Roman" w:eastAsia="仿宋_GB2312" w:cs="Times New Roman"/>
          <w:b/>
          <w:bCs/>
          <w:color w:val="auto"/>
          <w:kern w:val="0"/>
          <w:sz w:val="32"/>
          <w:szCs w:val="32"/>
          <w:highlight w:val="none"/>
          <w:lang w:bidi="ar"/>
        </w:rPr>
        <w:t>（部门填报表2，学院填报表3）</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为落实过紧日子要求，预算规模要在上年基础上进行</w:t>
      </w:r>
      <w:r>
        <w:rPr>
          <w:rFonts w:hint="eastAsia" w:ascii="Times New Roman" w:hAnsi="Times New Roman" w:eastAsia="仿宋_GB2312" w:cs="Times New Roman"/>
          <w:color w:val="auto"/>
          <w:kern w:val="0"/>
          <w:sz w:val="32"/>
          <w:szCs w:val="32"/>
          <w:highlight w:val="none"/>
          <w:lang w:val="en-US" w:eastAsia="zh-CN" w:bidi="ar"/>
        </w:rPr>
        <w:t>适当压减</w:t>
      </w:r>
      <w:r>
        <w:rPr>
          <w:rFonts w:ascii="Times New Roman" w:hAnsi="Times New Roman" w:eastAsia="仿宋_GB2312" w:cs="Times New Roman"/>
          <w:color w:val="auto"/>
          <w:kern w:val="0"/>
          <w:sz w:val="32"/>
          <w:szCs w:val="32"/>
          <w:highlight w:val="none"/>
          <w:lang w:bidi="ar"/>
        </w:rPr>
        <w:t>。</w:t>
      </w:r>
      <w:r>
        <w:rPr>
          <w:rFonts w:hint="eastAsia" w:ascii="Times New Roman" w:hAnsi="Times New Roman" w:eastAsia="仿宋_GB2312" w:cs="Times New Roman"/>
          <w:color w:val="auto"/>
          <w:kern w:val="0"/>
          <w:sz w:val="32"/>
          <w:szCs w:val="32"/>
          <w:highlight w:val="none"/>
          <w:lang w:val="en-US" w:eastAsia="zh-CN" w:bidi="ar"/>
        </w:rPr>
        <w:t>其中：</w:t>
      </w:r>
    </w:p>
    <w:p w14:paraId="08A12B5E">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eastAsia" w:ascii="Times New Roman" w:hAnsi="Times New Roman" w:eastAsia="仿宋_GB2312" w:cs="Times New Roman"/>
          <w:color w:val="auto"/>
          <w:kern w:val="0"/>
          <w:sz w:val="32"/>
          <w:szCs w:val="32"/>
          <w:highlight w:val="none"/>
          <w:lang w:bidi="ar"/>
        </w:rPr>
      </w:pPr>
      <w:r>
        <w:rPr>
          <w:rFonts w:hint="eastAsia" w:ascii="Times New Roman" w:hAnsi="Times New Roman" w:eastAsia="仿宋_GB2312" w:cs="Times New Roman"/>
          <w:b/>
          <w:bCs/>
          <w:color w:val="auto"/>
          <w:kern w:val="0"/>
          <w:sz w:val="32"/>
          <w:szCs w:val="32"/>
          <w:highlight w:val="none"/>
          <w:lang w:eastAsia="zh-CN" w:bidi="ar"/>
        </w:rPr>
        <w:t>（</w:t>
      </w:r>
      <w:r>
        <w:rPr>
          <w:rFonts w:hint="eastAsia" w:ascii="Times New Roman" w:hAnsi="Times New Roman" w:eastAsia="仿宋_GB2312" w:cs="Times New Roman"/>
          <w:b/>
          <w:bCs/>
          <w:color w:val="auto"/>
          <w:kern w:val="0"/>
          <w:sz w:val="32"/>
          <w:szCs w:val="32"/>
          <w:highlight w:val="none"/>
          <w:lang w:val="en-US" w:eastAsia="zh-CN" w:bidi="ar"/>
        </w:rPr>
        <w:t>1</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b/>
          <w:bCs/>
          <w:color w:val="auto"/>
          <w:kern w:val="0"/>
          <w:sz w:val="32"/>
          <w:szCs w:val="32"/>
          <w:highlight w:val="none"/>
          <w:lang w:bidi="ar"/>
        </w:rPr>
        <w:t>办公费</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b/>
          <w:bCs/>
          <w:color w:val="auto"/>
          <w:kern w:val="0"/>
          <w:sz w:val="32"/>
          <w:szCs w:val="32"/>
          <w:highlight w:val="none"/>
          <w:lang w:bidi="ar"/>
        </w:rPr>
        <w:t>公务接待费</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根据各部门在编人数实行定员定额由计财处按规定编制，部门无需填报；“三公”经费（出国（境）经费、公务接待费和公务用车运行维护费）按财政下达预算总额控制，部门无需填报。</w:t>
      </w:r>
    </w:p>
    <w:p w14:paraId="51729B38">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ascii="Times New Roman" w:hAnsi="Times New Roman" w:eastAsia="仿宋_GB2312" w:cs="Times New Roman"/>
          <w:color w:val="auto"/>
          <w:kern w:val="0"/>
          <w:sz w:val="32"/>
          <w:szCs w:val="32"/>
          <w:highlight w:val="none"/>
          <w:lang w:bidi="ar"/>
        </w:rPr>
      </w:pPr>
      <w:r>
        <w:rPr>
          <w:rFonts w:hint="eastAsia" w:ascii="Times New Roman" w:hAnsi="Times New Roman" w:eastAsia="仿宋_GB2312" w:cs="Times New Roman"/>
          <w:b/>
          <w:bCs/>
          <w:color w:val="auto"/>
          <w:kern w:val="0"/>
          <w:sz w:val="32"/>
          <w:szCs w:val="32"/>
          <w:highlight w:val="none"/>
          <w:lang w:eastAsia="zh-CN" w:bidi="ar"/>
        </w:rPr>
        <w:t>（</w:t>
      </w:r>
      <w:r>
        <w:rPr>
          <w:rFonts w:hint="eastAsia" w:ascii="Times New Roman" w:hAnsi="Times New Roman" w:eastAsia="仿宋_GB2312" w:cs="Times New Roman"/>
          <w:b/>
          <w:bCs/>
          <w:color w:val="auto"/>
          <w:kern w:val="0"/>
          <w:sz w:val="32"/>
          <w:szCs w:val="32"/>
          <w:highlight w:val="none"/>
          <w:lang w:val="en-US" w:eastAsia="zh-CN" w:bidi="ar"/>
        </w:rPr>
        <w:t>2</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b/>
          <w:bCs/>
          <w:color w:val="auto"/>
          <w:kern w:val="0"/>
          <w:sz w:val="32"/>
          <w:szCs w:val="32"/>
          <w:highlight w:val="none"/>
          <w:lang w:bidi="ar"/>
        </w:rPr>
        <w:t>学院一般业务经费</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color w:val="auto"/>
          <w:kern w:val="0"/>
          <w:sz w:val="32"/>
          <w:szCs w:val="32"/>
          <w:highlight w:val="none"/>
          <w:lang w:bidi="ar"/>
        </w:rPr>
        <w:t>根据计财处下达金额按支出类别分别填报，由职能部门下拨学院的实验室运行经费、学生实习考研、退休教工活动经费等由职能部门申报填写，学院无需填报。</w:t>
      </w:r>
    </w:p>
    <w:p w14:paraId="273BED5E">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default"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b/>
          <w:bCs/>
          <w:color w:val="auto"/>
          <w:kern w:val="0"/>
          <w:sz w:val="32"/>
          <w:szCs w:val="32"/>
          <w:highlight w:val="none"/>
          <w:lang w:eastAsia="zh-CN" w:bidi="ar"/>
        </w:rPr>
        <w:t>（</w:t>
      </w:r>
      <w:r>
        <w:rPr>
          <w:rFonts w:hint="eastAsia" w:ascii="Times New Roman" w:hAnsi="Times New Roman" w:eastAsia="仿宋_GB2312" w:cs="Times New Roman"/>
          <w:b/>
          <w:bCs/>
          <w:color w:val="auto"/>
          <w:kern w:val="0"/>
          <w:sz w:val="32"/>
          <w:szCs w:val="32"/>
          <w:highlight w:val="none"/>
          <w:lang w:val="en-US" w:eastAsia="zh-CN" w:bidi="ar"/>
        </w:rPr>
        <w:t>3</w:t>
      </w:r>
      <w:r>
        <w:rPr>
          <w:rFonts w:hint="eastAsia" w:ascii="Times New Roman" w:hAnsi="Times New Roman" w:eastAsia="仿宋_GB2312" w:cs="Times New Roman"/>
          <w:b/>
          <w:bCs/>
          <w:color w:val="auto"/>
          <w:kern w:val="0"/>
          <w:sz w:val="32"/>
          <w:szCs w:val="32"/>
          <w:highlight w:val="none"/>
          <w:lang w:eastAsia="zh-CN" w:bidi="ar"/>
        </w:rPr>
        <w:t>）</w:t>
      </w:r>
      <w:r>
        <w:rPr>
          <w:rFonts w:ascii="Times New Roman" w:hAnsi="Times New Roman" w:eastAsia="仿宋_GB2312" w:cs="Times New Roman"/>
          <w:b/>
          <w:bCs/>
          <w:color w:val="auto"/>
          <w:kern w:val="0"/>
          <w:sz w:val="32"/>
          <w:szCs w:val="32"/>
          <w:highlight w:val="none"/>
          <w:lang w:bidi="ar"/>
        </w:rPr>
        <w:t>纳入项目库管理的</w:t>
      </w:r>
      <w:r>
        <w:rPr>
          <w:rFonts w:hint="eastAsia" w:ascii="Times New Roman" w:hAnsi="Times New Roman" w:eastAsia="仿宋_GB2312" w:cs="Times New Roman"/>
          <w:b/>
          <w:bCs/>
          <w:color w:val="auto"/>
          <w:kern w:val="0"/>
          <w:sz w:val="32"/>
          <w:szCs w:val="32"/>
          <w:highlight w:val="none"/>
          <w:lang w:val="en-US" w:eastAsia="zh-CN" w:bidi="ar"/>
        </w:rPr>
        <w:t>运行支出类项目</w:t>
      </w:r>
      <w:r>
        <w:rPr>
          <w:rFonts w:ascii="Times New Roman" w:hAnsi="Times New Roman" w:eastAsia="仿宋_GB2312" w:cs="Times New Roman"/>
          <w:b/>
          <w:bCs/>
          <w:color w:val="auto"/>
          <w:kern w:val="0"/>
          <w:sz w:val="32"/>
          <w:szCs w:val="32"/>
          <w:highlight w:val="none"/>
          <w:lang w:bidi="ar"/>
        </w:rPr>
        <w:t>清单将另行下发至各</w:t>
      </w:r>
      <w:r>
        <w:rPr>
          <w:rFonts w:hint="eastAsia" w:ascii="Times New Roman" w:hAnsi="Times New Roman" w:eastAsia="仿宋_GB2312" w:cs="Times New Roman"/>
          <w:b/>
          <w:bCs/>
          <w:color w:val="auto"/>
          <w:kern w:val="0"/>
          <w:sz w:val="32"/>
          <w:szCs w:val="32"/>
          <w:highlight w:val="none"/>
          <w:lang w:val="en-US" w:eastAsia="zh-CN" w:bidi="ar"/>
        </w:rPr>
        <w:t>相关</w:t>
      </w:r>
      <w:r>
        <w:rPr>
          <w:rFonts w:ascii="Times New Roman" w:hAnsi="Times New Roman" w:eastAsia="仿宋_GB2312" w:cs="Times New Roman"/>
          <w:b/>
          <w:bCs/>
          <w:color w:val="auto"/>
          <w:kern w:val="0"/>
          <w:sz w:val="32"/>
          <w:szCs w:val="32"/>
          <w:highlight w:val="none"/>
          <w:lang w:bidi="ar"/>
        </w:rPr>
        <w:t>部门</w:t>
      </w:r>
      <w:r>
        <w:rPr>
          <w:rFonts w:hint="eastAsia" w:ascii="Times New Roman" w:hAnsi="Times New Roman" w:eastAsia="仿宋_GB2312" w:cs="Times New Roman"/>
          <w:b/>
          <w:bCs/>
          <w:color w:val="auto"/>
          <w:kern w:val="0"/>
          <w:sz w:val="32"/>
          <w:szCs w:val="32"/>
          <w:highlight w:val="none"/>
          <w:lang w:val="en-US" w:eastAsia="zh-CN" w:bidi="ar"/>
        </w:rPr>
        <w:t>，该类项目的预算编报程序见“3.专项支出预算”编报程序。</w:t>
      </w:r>
    </w:p>
    <w:p w14:paraId="6E94B3D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0" w:leftChars="0" w:firstLine="520" w:firstLineChars="162"/>
        <w:textAlignment w:val="auto"/>
        <w:rPr>
          <w:rFonts w:ascii="Times New Roman" w:hAnsi="Times New Roman" w:eastAsia="仿宋_GB2312" w:cs="Times New Roman"/>
          <w:b/>
          <w:bCs/>
          <w:color w:val="auto"/>
          <w:kern w:val="0"/>
          <w:sz w:val="32"/>
          <w:szCs w:val="32"/>
          <w:highlight w:val="none"/>
          <w:lang w:bidi="ar"/>
        </w:rPr>
      </w:pPr>
      <w:r>
        <w:rPr>
          <w:rFonts w:hint="eastAsia" w:ascii="Times New Roman" w:hAnsi="Times New Roman" w:eastAsia="仿宋_GB2312" w:cs="Times New Roman"/>
          <w:b/>
          <w:bCs/>
          <w:color w:val="auto"/>
          <w:kern w:val="0"/>
          <w:sz w:val="32"/>
          <w:szCs w:val="32"/>
          <w:highlight w:val="none"/>
          <w:lang w:val="en-US" w:eastAsia="zh-CN" w:bidi="ar"/>
        </w:rPr>
        <w:t>3</w:t>
      </w:r>
      <w:r>
        <w:rPr>
          <w:rFonts w:ascii="Times New Roman" w:hAnsi="Times New Roman" w:eastAsia="仿宋_GB2312" w:cs="Times New Roman"/>
          <w:b/>
          <w:bCs/>
          <w:color w:val="auto"/>
          <w:kern w:val="0"/>
          <w:sz w:val="32"/>
          <w:szCs w:val="32"/>
          <w:highlight w:val="none"/>
          <w:lang w:val="en-US" w:eastAsia="zh-CN" w:bidi="ar"/>
        </w:rPr>
        <w:t>.</w:t>
      </w:r>
      <w:r>
        <w:rPr>
          <w:rFonts w:hint="eastAsia" w:ascii="Times New Roman" w:hAnsi="Times New Roman" w:eastAsia="仿宋_GB2312" w:cs="Times New Roman"/>
          <w:b/>
          <w:bCs/>
          <w:color w:val="auto"/>
          <w:kern w:val="0"/>
          <w:sz w:val="32"/>
          <w:szCs w:val="32"/>
          <w:highlight w:val="none"/>
          <w:lang w:val="en-US" w:eastAsia="zh-CN" w:bidi="ar"/>
        </w:rPr>
        <w:t>专项</w:t>
      </w:r>
      <w:r>
        <w:rPr>
          <w:rFonts w:ascii="Times New Roman" w:hAnsi="Times New Roman" w:eastAsia="仿宋_GB2312" w:cs="Times New Roman"/>
          <w:b/>
          <w:bCs/>
          <w:color w:val="auto"/>
          <w:kern w:val="0"/>
          <w:sz w:val="32"/>
          <w:szCs w:val="32"/>
          <w:highlight w:val="none"/>
          <w:lang w:bidi="ar"/>
        </w:rPr>
        <w:t>支出预算</w:t>
      </w:r>
    </w:p>
    <w:p w14:paraId="359DC371">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eastAsia" w:ascii="Times New Roman" w:hAnsi="Times New Roman" w:eastAsia="仿宋_GB2312" w:cs="Times New Roman"/>
          <w:color w:val="auto"/>
          <w:kern w:val="0"/>
          <w:sz w:val="32"/>
          <w:szCs w:val="32"/>
          <w:highlight w:val="none"/>
          <w:lang w:val="en-US" w:eastAsia="zh-CN" w:bidi="ar"/>
        </w:rPr>
      </w:pPr>
      <w:r>
        <w:rPr>
          <w:rFonts w:ascii="Times New Roman" w:hAnsi="Times New Roman" w:eastAsia="仿宋_GB2312" w:cs="Times New Roman"/>
          <w:color w:val="auto"/>
          <w:kern w:val="0"/>
          <w:sz w:val="32"/>
          <w:szCs w:val="32"/>
          <w:highlight w:val="none"/>
          <w:lang w:val="en-US" w:eastAsia="zh-CN" w:bidi="ar"/>
        </w:rPr>
        <w:t>专项支出是学校为实现事业发展目标或为完成特定工</w:t>
      </w:r>
      <w:r>
        <w:rPr>
          <w:rFonts w:hint="eastAsia" w:ascii="Times New Roman" w:hAnsi="Times New Roman" w:eastAsia="仿宋_GB2312" w:cs="Times New Roman"/>
          <w:color w:val="auto"/>
          <w:kern w:val="0"/>
          <w:sz w:val="32"/>
          <w:szCs w:val="32"/>
          <w:highlight w:val="none"/>
          <w:lang w:val="en-US" w:eastAsia="zh-CN" w:bidi="ar"/>
        </w:rPr>
        <w:t>作任务，在人员经费和运行经费之外安排的、一定时期内有效的具有专门用途的支出。2026年专项支出采用项目库管理模式，具体编报程序：</w:t>
      </w:r>
    </w:p>
    <w:p w14:paraId="1E9D7F3E">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default" w:ascii="Times New Roman" w:hAnsi="Times New Roman" w:eastAsia="仿宋_GB2312" w:cs="Times New Roman"/>
          <w:b/>
          <w:bCs/>
          <w:color w:val="auto"/>
          <w:kern w:val="0"/>
          <w:sz w:val="32"/>
          <w:szCs w:val="32"/>
          <w:highlight w:val="none"/>
          <w:lang w:val="en-US" w:eastAsia="zh-CN" w:bidi="ar"/>
        </w:rPr>
      </w:pPr>
      <w:r>
        <w:rPr>
          <w:rFonts w:hint="eastAsia" w:ascii="Times New Roman" w:hAnsi="Times New Roman" w:eastAsia="仿宋_GB2312" w:cs="Times New Roman"/>
          <w:b/>
          <w:bCs/>
          <w:color w:val="auto"/>
          <w:kern w:val="0"/>
          <w:sz w:val="32"/>
          <w:szCs w:val="32"/>
          <w:highlight w:val="none"/>
          <w:lang w:val="en-US" w:eastAsia="zh-CN" w:bidi="ar"/>
        </w:rPr>
        <w:t>（1）项目申报</w:t>
      </w:r>
    </w:p>
    <w:p w14:paraId="357909F5">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学校设置项目库，项目申报实行归口管理，各单位向归口管理部门提交项目申请，由相应归口管理部门审核。为进一步提高项目管理水平，项目应由各单位和归口管理部门组织论证，经分管校领导审核签批后申报。项目应按照“</w:t>
      </w:r>
      <w:r>
        <w:rPr>
          <w:rFonts w:hint="eastAsia" w:ascii="Times New Roman" w:hAnsi="Times New Roman" w:eastAsia="仿宋_GB2312" w:cs="Times New Roman"/>
          <w:b/>
          <w:bCs/>
          <w:color w:val="auto"/>
          <w:kern w:val="0"/>
          <w:sz w:val="32"/>
          <w:szCs w:val="32"/>
          <w:highlight w:val="none"/>
          <w:lang w:val="en-US" w:eastAsia="zh-CN" w:bidi="ar"/>
        </w:rPr>
        <w:t>业务审核、项目立项在先，财务预算安排在后</w:t>
      </w:r>
      <w:r>
        <w:rPr>
          <w:rFonts w:hint="eastAsia" w:ascii="Times New Roman" w:hAnsi="Times New Roman" w:eastAsia="仿宋_GB2312" w:cs="Times New Roman"/>
          <w:color w:val="auto"/>
          <w:kern w:val="0"/>
          <w:sz w:val="32"/>
          <w:szCs w:val="32"/>
          <w:highlight w:val="none"/>
          <w:lang w:val="en-US" w:eastAsia="zh-CN" w:bidi="ar"/>
        </w:rPr>
        <w:t>”的顺序，</w:t>
      </w:r>
      <w:r>
        <w:rPr>
          <w:rFonts w:hint="eastAsia" w:ascii="Times New Roman" w:hAnsi="Times New Roman" w:eastAsia="仿宋_GB2312" w:cs="Times New Roman"/>
          <w:b/>
          <w:bCs/>
          <w:color w:val="auto"/>
          <w:kern w:val="0"/>
          <w:sz w:val="32"/>
          <w:szCs w:val="32"/>
          <w:highlight w:val="none"/>
          <w:lang w:val="en-US" w:eastAsia="zh-CN" w:bidi="ar"/>
        </w:rPr>
        <w:t>先重点论证立项必要性、投入经济性、绩效目标合理性、实施方案可行性</w:t>
      </w:r>
      <w:r>
        <w:rPr>
          <w:rFonts w:hint="eastAsia" w:ascii="Times New Roman" w:hAnsi="Times New Roman" w:eastAsia="仿宋_GB2312" w:cs="Times New Roman"/>
          <w:color w:val="auto"/>
          <w:kern w:val="0"/>
          <w:sz w:val="32"/>
          <w:szCs w:val="32"/>
          <w:highlight w:val="none"/>
          <w:lang w:val="en-US" w:eastAsia="zh-CN" w:bidi="ar"/>
        </w:rPr>
        <w:t>，并提供相应的项目可行性报告、支出结构预算、项目绩效指标等资料，作为项目入库的必备条件，未认真开展论证或项目资料不全的，不予入库。</w:t>
      </w:r>
    </w:p>
    <w:p w14:paraId="4C9F454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根据《项目库管理办法》（湖师院发〔2025〕71号）规定，项目库申报各归口如下：</w:t>
      </w:r>
    </w:p>
    <w:p w14:paraId="7DC5EC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人才</w:t>
      </w:r>
      <w:r>
        <w:rPr>
          <w:rFonts w:hint="eastAsia" w:ascii="仿宋_GB2312" w:hAnsi="仿宋_GB2312" w:eastAsia="仿宋_GB2312" w:cs="仿宋_GB2312"/>
          <w:b w:val="0"/>
          <w:bCs w:val="0"/>
          <w:color w:val="auto"/>
          <w:sz w:val="32"/>
          <w:szCs w:val="32"/>
          <w:highlight w:val="none"/>
        </w:rPr>
        <w:t>队伍建设</w:t>
      </w:r>
      <w:r>
        <w:rPr>
          <w:rFonts w:hint="eastAsia" w:ascii="仿宋_GB2312" w:hAnsi="仿宋_GB2312" w:eastAsia="仿宋_GB2312" w:cs="仿宋_GB2312"/>
          <w:b w:val="0"/>
          <w:bCs w:val="0"/>
          <w:color w:val="auto"/>
          <w:sz w:val="32"/>
          <w:szCs w:val="32"/>
          <w:highlight w:val="none"/>
          <w:lang w:val="en-US" w:eastAsia="zh-CN"/>
        </w:rPr>
        <w:t>类项目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归口人事处</w:t>
      </w:r>
      <w:r>
        <w:rPr>
          <w:rFonts w:hint="eastAsia" w:ascii="仿宋_GB2312" w:hAnsi="仿宋_GB2312" w:eastAsia="仿宋_GB2312" w:cs="仿宋_GB2312"/>
          <w:b w:val="0"/>
          <w:bCs w:val="0"/>
          <w:color w:val="auto"/>
          <w:sz w:val="32"/>
          <w:szCs w:val="32"/>
          <w:highlight w:val="none"/>
          <w:lang w:val="en-US" w:eastAsia="zh-CN"/>
        </w:rPr>
        <w:t>管理</w:t>
      </w:r>
      <w:r>
        <w:rPr>
          <w:rFonts w:hint="eastAsia" w:ascii="仿宋_GB2312" w:hAnsi="仿宋_GB2312" w:eastAsia="仿宋_GB2312" w:cs="仿宋_GB2312"/>
          <w:b w:val="0"/>
          <w:bCs w:val="0"/>
          <w:color w:val="auto"/>
          <w:sz w:val="32"/>
          <w:szCs w:val="32"/>
          <w:highlight w:val="none"/>
        </w:rPr>
        <w:t>；</w:t>
      </w:r>
    </w:p>
    <w:p w14:paraId="2ADCE56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二</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rPr>
        <w:t>学</w:t>
      </w:r>
      <w:r>
        <w:rPr>
          <w:rFonts w:hint="eastAsia" w:ascii="仿宋_GB2312" w:hAnsi="仿宋_GB2312" w:eastAsia="仿宋_GB2312" w:cs="仿宋_GB2312"/>
          <w:b w:val="0"/>
          <w:bCs w:val="0"/>
          <w:strike w:val="0"/>
          <w:dstrike w:val="0"/>
          <w:color w:val="auto"/>
          <w:sz w:val="32"/>
          <w:szCs w:val="32"/>
          <w:highlight w:val="none"/>
          <w:lang w:val="en-US" w:eastAsia="zh-CN"/>
        </w:rPr>
        <w:t>科</w:t>
      </w:r>
      <w:r>
        <w:rPr>
          <w:rFonts w:hint="eastAsia" w:ascii="仿宋_GB2312" w:hAnsi="仿宋_GB2312" w:eastAsia="仿宋_GB2312" w:cs="仿宋_GB2312"/>
          <w:b w:val="0"/>
          <w:bCs w:val="0"/>
          <w:strike w:val="0"/>
          <w:dstrike w:val="0"/>
          <w:color w:val="auto"/>
          <w:sz w:val="32"/>
          <w:szCs w:val="32"/>
          <w:highlight w:val="none"/>
        </w:rPr>
        <w:t>建设</w:t>
      </w:r>
      <w:r>
        <w:rPr>
          <w:rFonts w:hint="eastAsia" w:ascii="仿宋_GB2312" w:hAnsi="仿宋_GB2312" w:eastAsia="仿宋_GB2312" w:cs="仿宋_GB2312"/>
          <w:b w:val="0"/>
          <w:bCs w:val="0"/>
          <w:strike w:val="0"/>
          <w:dstrike w:val="0"/>
          <w:color w:val="auto"/>
          <w:sz w:val="32"/>
          <w:szCs w:val="32"/>
          <w:highlight w:val="none"/>
          <w:lang w:val="en-US" w:eastAsia="zh-CN"/>
        </w:rPr>
        <w:t>类</w:t>
      </w:r>
      <w:r>
        <w:rPr>
          <w:rFonts w:hint="eastAsia" w:ascii="仿宋_GB2312" w:hAnsi="仿宋_GB2312" w:eastAsia="仿宋_GB2312" w:cs="仿宋_GB2312"/>
          <w:b w:val="0"/>
          <w:bCs w:val="0"/>
          <w:strike w:val="0"/>
          <w:dstrike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研究生培养</w:t>
      </w:r>
      <w:r>
        <w:rPr>
          <w:rFonts w:hint="eastAsia" w:ascii="仿宋_GB2312" w:hAnsi="仿宋_GB2312" w:eastAsia="仿宋_GB2312" w:cs="仿宋_GB2312"/>
          <w:b w:val="0"/>
          <w:bCs w:val="0"/>
          <w:color w:val="auto"/>
          <w:sz w:val="32"/>
          <w:szCs w:val="32"/>
          <w:highlight w:val="none"/>
          <w:lang w:val="en-US" w:eastAsia="zh-CN"/>
        </w:rPr>
        <w:t>类项目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归口</w:t>
      </w:r>
      <w:r>
        <w:rPr>
          <w:rFonts w:hint="eastAsia" w:ascii="仿宋_GB2312" w:hAnsi="仿宋_GB2312" w:eastAsia="仿宋_GB2312" w:cs="仿宋_GB2312"/>
          <w:b w:val="0"/>
          <w:bCs w:val="0"/>
          <w:color w:val="auto"/>
          <w:sz w:val="32"/>
          <w:szCs w:val="32"/>
          <w:highlight w:val="none"/>
          <w:lang w:val="en-US" w:eastAsia="zh-CN"/>
        </w:rPr>
        <w:t>研究生工作部、</w:t>
      </w:r>
      <w:r>
        <w:rPr>
          <w:rFonts w:hint="eastAsia" w:ascii="仿宋_GB2312" w:hAnsi="仿宋_GB2312" w:eastAsia="仿宋_GB2312" w:cs="仿宋_GB2312"/>
          <w:b w:val="0"/>
          <w:bCs w:val="0"/>
          <w:color w:val="auto"/>
          <w:sz w:val="32"/>
          <w:szCs w:val="32"/>
          <w:highlight w:val="none"/>
        </w:rPr>
        <w:t>研究生院</w:t>
      </w:r>
      <w:r>
        <w:rPr>
          <w:rFonts w:hint="eastAsia" w:ascii="仿宋_GB2312" w:hAnsi="仿宋_GB2312" w:eastAsia="仿宋_GB2312" w:cs="仿宋_GB2312"/>
          <w:b w:val="0"/>
          <w:bCs w:val="0"/>
          <w:color w:val="auto"/>
          <w:sz w:val="32"/>
          <w:szCs w:val="32"/>
          <w:highlight w:val="none"/>
          <w:lang w:val="en-US" w:eastAsia="zh-CN"/>
        </w:rPr>
        <w:t>管理</w:t>
      </w:r>
      <w:r>
        <w:rPr>
          <w:rFonts w:hint="eastAsia" w:ascii="仿宋_GB2312" w:hAnsi="仿宋_GB2312" w:eastAsia="仿宋_GB2312" w:cs="仿宋_GB2312"/>
          <w:b w:val="0"/>
          <w:bCs w:val="0"/>
          <w:color w:val="auto"/>
          <w:sz w:val="32"/>
          <w:szCs w:val="32"/>
          <w:highlight w:val="none"/>
        </w:rPr>
        <w:t>；</w:t>
      </w:r>
    </w:p>
    <w:p w14:paraId="1C90B52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三</w:t>
      </w:r>
      <w:r>
        <w:rPr>
          <w:rFonts w:hint="eastAsia" w:ascii="仿宋_GB2312" w:hAnsi="仿宋_GB2312" w:eastAsia="仿宋_GB2312" w:cs="仿宋_GB2312"/>
          <w:b w:val="0"/>
          <w:bCs w:val="0"/>
          <w:color w:val="auto"/>
          <w:sz w:val="32"/>
          <w:szCs w:val="32"/>
          <w:highlight w:val="none"/>
        </w:rPr>
        <w:t>）教学及专业建设类</w:t>
      </w:r>
      <w:r>
        <w:rPr>
          <w:rFonts w:hint="eastAsia" w:ascii="仿宋_GB2312" w:hAnsi="仿宋_GB2312" w:eastAsia="仿宋_GB2312" w:cs="仿宋_GB2312"/>
          <w:b w:val="0"/>
          <w:bCs w:val="0"/>
          <w:color w:val="auto"/>
          <w:sz w:val="32"/>
          <w:szCs w:val="32"/>
          <w:highlight w:val="none"/>
          <w:lang w:val="en-US" w:eastAsia="zh-CN"/>
        </w:rPr>
        <w:t>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归口教务处管理；</w:t>
      </w:r>
    </w:p>
    <w:p w14:paraId="3C98FA1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四</w:t>
      </w:r>
      <w:r>
        <w:rPr>
          <w:rFonts w:hint="eastAsia" w:ascii="仿宋_GB2312" w:hAnsi="仿宋_GB2312" w:eastAsia="仿宋_GB2312" w:cs="仿宋_GB2312"/>
          <w:b w:val="0"/>
          <w:bCs w:val="0"/>
          <w:color w:val="auto"/>
          <w:sz w:val="32"/>
          <w:szCs w:val="32"/>
          <w:highlight w:val="none"/>
        </w:rPr>
        <w:t>）科学研究</w:t>
      </w:r>
      <w:r>
        <w:rPr>
          <w:rFonts w:hint="eastAsia" w:ascii="仿宋_GB2312" w:hAnsi="仿宋_GB2312" w:eastAsia="仿宋_GB2312" w:cs="仿宋_GB2312"/>
          <w:b w:val="0"/>
          <w:bCs w:val="0"/>
          <w:color w:val="auto"/>
          <w:sz w:val="32"/>
          <w:szCs w:val="32"/>
          <w:highlight w:val="none"/>
          <w:lang w:val="en-US" w:eastAsia="zh-CN"/>
        </w:rPr>
        <w:t>类</w:t>
      </w:r>
      <w:r>
        <w:rPr>
          <w:rFonts w:hint="eastAsia" w:ascii="仿宋_GB2312" w:hAnsi="仿宋_GB2312" w:eastAsia="仿宋_GB2312" w:cs="仿宋_GB2312"/>
          <w:b w:val="0"/>
          <w:bCs w:val="0"/>
          <w:color w:val="auto"/>
          <w:sz w:val="32"/>
          <w:szCs w:val="32"/>
          <w:highlight w:val="none"/>
        </w:rPr>
        <w:t>、科研平台类项目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归口</w:t>
      </w:r>
      <w:r>
        <w:rPr>
          <w:rFonts w:hint="eastAsia" w:ascii="仿宋_GB2312" w:hAnsi="仿宋_GB2312" w:eastAsia="仿宋_GB2312" w:cs="仿宋_GB2312"/>
          <w:b w:val="0"/>
          <w:bCs w:val="0"/>
          <w:color w:val="auto"/>
          <w:sz w:val="32"/>
          <w:szCs w:val="32"/>
          <w:highlight w:val="none"/>
        </w:rPr>
        <w:t>科技处、人文社科处</w:t>
      </w:r>
      <w:r>
        <w:rPr>
          <w:rFonts w:hint="eastAsia" w:ascii="仿宋_GB2312" w:hAnsi="仿宋_GB2312" w:eastAsia="仿宋_GB2312" w:cs="仿宋_GB2312"/>
          <w:b w:val="0"/>
          <w:bCs w:val="0"/>
          <w:color w:val="auto"/>
          <w:sz w:val="32"/>
          <w:szCs w:val="32"/>
          <w:highlight w:val="none"/>
          <w:lang w:val="en-US" w:eastAsia="zh-CN"/>
        </w:rPr>
        <w:t>管理</w:t>
      </w:r>
      <w:r>
        <w:rPr>
          <w:rFonts w:hint="eastAsia" w:ascii="仿宋_GB2312" w:hAnsi="仿宋_GB2312" w:eastAsia="仿宋_GB2312" w:cs="仿宋_GB2312"/>
          <w:b w:val="0"/>
          <w:bCs w:val="0"/>
          <w:color w:val="auto"/>
          <w:sz w:val="32"/>
          <w:szCs w:val="32"/>
          <w:highlight w:val="none"/>
        </w:rPr>
        <w:t>；</w:t>
      </w:r>
    </w:p>
    <w:p w14:paraId="7C8497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五</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lang w:val="en-US" w:eastAsia="zh-CN"/>
        </w:rPr>
        <w:t>国际交流与合作类项目</w:t>
      </w:r>
      <w:r>
        <w:rPr>
          <w:rFonts w:hint="eastAsia" w:ascii="仿宋_GB2312" w:hAnsi="仿宋_GB2312" w:eastAsia="仿宋_GB2312" w:cs="仿宋_GB2312"/>
          <w:b w:val="0"/>
          <w:bCs w:val="0"/>
          <w:color w:val="auto"/>
          <w:sz w:val="32"/>
          <w:szCs w:val="32"/>
          <w:highlight w:val="none"/>
          <w:lang w:val="en-US" w:eastAsia="zh-CN"/>
        </w:rPr>
        <w:t>，归口</w:t>
      </w:r>
      <w:r>
        <w:rPr>
          <w:rFonts w:hint="eastAsia" w:ascii="仿宋_GB2312" w:hAnsi="仿宋_GB2312" w:eastAsia="仿宋_GB2312" w:cs="仿宋_GB2312"/>
          <w:b w:val="0"/>
          <w:bCs w:val="0"/>
          <w:strike w:val="0"/>
          <w:dstrike w:val="0"/>
          <w:color w:val="auto"/>
          <w:sz w:val="32"/>
          <w:szCs w:val="32"/>
          <w:highlight w:val="none"/>
          <w:lang w:val="en-US" w:eastAsia="zh-CN"/>
        </w:rPr>
        <w:t>国际交流合作处管理</w:t>
      </w:r>
      <w:r>
        <w:rPr>
          <w:rFonts w:hint="eastAsia" w:ascii="仿宋_GB2312" w:hAnsi="仿宋_GB2312" w:eastAsia="仿宋_GB2312" w:cs="仿宋_GB2312"/>
          <w:b w:val="0"/>
          <w:bCs w:val="0"/>
          <w:color w:val="auto"/>
          <w:sz w:val="32"/>
          <w:szCs w:val="32"/>
          <w:highlight w:val="none"/>
          <w:lang w:val="en-US" w:eastAsia="zh-CN"/>
        </w:rPr>
        <w:t>；</w:t>
      </w:r>
    </w:p>
    <w:p w14:paraId="152A432E">
      <w:pPr>
        <w:keepNext w:val="0"/>
        <w:keepLines w:val="0"/>
        <w:pageBreakBefore w:val="0"/>
        <w:widowControl w:val="0"/>
        <w:kinsoku/>
        <w:wordWrap/>
        <w:overflowPunct/>
        <w:topLinePunct w:val="0"/>
        <w:autoSpaceDE/>
        <w:autoSpaceDN/>
        <w:bidi w:val="0"/>
        <w:adjustRightInd/>
        <w:snapToGrid/>
        <w:spacing w:line="560" w:lineRule="exact"/>
        <w:ind w:left="0" w:leftChars="0" w:firstLine="626" w:firstLineChars="200"/>
        <w:textAlignment w:val="auto"/>
        <w:rPr>
          <w:rFonts w:hint="eastAsia" w:ascii="仿宋_GB2312" w:hAnsi="仿宋_GB2312" w:eastAsia="仿宋_GB2312" w:cs="仿宋_GB2312"/>
          <w:b w:val="0"/>
          <w:bCs w:val="0"/>
          <w:color w:val="auto"/>
          <w:w w:val="98"/>
          <w:sz w:val="32"/>
          <w:szCs w:val="32"/>
          <w:highlight w:val="none"/>
        </w:rPr>
      </w:pPr>
      <w:r>
        <w:rPr>
          <w:rFonts w:hint="eastAsia" w:ascii="仿宋_GB2312" w:hAnsi="仿宋_GB2312" w:eastAsia="仿宋_GB2312" w:cs="仿宋_GB2312"/>
          <w:b w:val="0"/>
          <w:bCs w:val="0"/>
          <w:color w:val="auto"/>
          <w:w w:val="98"/>
          <w:sz w:val="32"/>
          <w:szCs w:val="32"/>
          <w:highlight w:val="none"/>
        </w:rPr>
        <w:t>（</w:t>
      </w:r>
      <w:r>
        <w:rPr>
          <w:rFonts w:hint="eastAsia" w:ascii="仿宋_GB2312" w:hAnsi="仿宋_GB2312" w:eastAsia="仿宋_GB2312" w:cs="仿宋_GB2312"/>
          <w:b w:val="0"/>
          <w:bCs w:val="0"/>
          <w:color w:val="auto"/>
          <w:w w:val="98"/>
          <w:sz w:val="32"/>
          <w:szCs w:val="32"/>
          <w:highlight w:val="none"/>
          <w:lang w:val="en-US" w:eastAsia="zh-CN"/>
        </w:rPr>
        <w:t>六）</w:t>
      </w:r>
      <w:r>
        <w:rPr>
          <w:rFonts w:hint="eastAsia" w:ascii="仿宋_GB2312" w:hAnsi="仿宋_GB2312" w:eastAsia="仿宋_GB2312" w:cs="仿宋_GB2312"/>
          <w:b w:val="0"/>
          <w:bCs w:val="0"/>
          <w:color w:val="auto"/>
          <w:w w:val="98"/>
          <w:sz w:val="32"/>
          <w:szCs w:val="32"/>
          <w:highlight w:val="none"/>
        </w:rPr>
        <w:t>实验室</w:t>
      </w:r>
      <w:r>
        <w:rPr>
          <w:rFonts w:hint="eastAsia" w:ascii="仿宋_GB2312" w:hAnsi="仿宋_GB2312" w:eastAsia="仿宋_GB2312" w:cs="仿宋_GB2312"/>
          <w:b w:val="0"/>
          <w:bCs w:val="0"/>
          <w:color w:val="auto"/>
          <w:w w:val="98"/>
          <w:sz w:val="32"/>
          <w:szCs w:val="32"/>
          <w:highlight w:val="none"/>
          <w:lang w:val="en-US" w:eastAsia="zh-CN"/>
        </w:rPr>
        <w:t>建设</w:t>
      </w:r>
      <w:r>
        <w:rPr>
          <w:rFonts w:hint="eastAsia" w:ascii="仿宋_GB2312" w:hAnsi="仿宋_GB2312" w:eastAsia="仿宋_GB2312" w:cs="仿宋_GB2312"/>
          <w:b w:val="0"/>
          <w:bCs w:val="0"/>
          <w:color w:val="auto"/>
          <w:w w:val="98"/>
          <w:sz w:val="32"/>
          <w:szCs w:val="32"/>
          <w:highlight w:val="none"/>
        </w:rPr>
        <w:t>类项目</w:t>
      </w:r>
      <w:r>
        <w:rPr>
          <w:rFonts w:hint="eastAsia" w:ascii="仿宋_GB2312" w:hAnsi="仿宋_GB2312" w:eastAsia="仿宋_GB2312" w:cs="仿宋_GB2312"/>
          <w:b w:val="0"/>
          <w:bCs w:val="0"/>
          <w:color w:val="auto"/>
          <w:w w:val="98"/>
          <w:sz w:val="32"/>
          <w:szCs w:val="32"/>
          <w:highlight w:val="none"/>
          <w:lang w:eastAsia="zh-CN"/>
        </w:rPr>
        <w:t>，</w:t>
      </w:r>
      <w:r>
        <w:rPr>
          <w:rFonts w:hint="eastAsia" w:ascii="仿宋_GB2312" w:hAnsi="仿宋_GB2312" w:eastAsia="仿宋_GB2312" w:cs="仿宋_GB2312"/>
          <w:b w:val="0"/>
          <w:bCs w:val="0"/>
          <w:color w:val="auto"/>
          <w:w w:val="98"/>
          <w:sz w:val="32"/>
          <w:szCs w:val="32"/>
          <w:highlight w:val="none"/>
          <w:lang w:val="en-US" w:eastAsia="zh-CN"/>
        </w:rPr>
        <w:t>归口实验室建设与管理处管理</w:t>
      </w:r>
      <w:r>
        <w:rPr>
          <w:rFonts w:hint="eastAsia" w:ascii="仿宋_GB2312" w:hAnsi="仿宋_GB2312" w:eastAsia="仿宋_GB2312" w:cs="仿宋_GB2312"/>
          <w:b w:val="0"/>
          <w:bCs w:val="0"/>
          <w:color w:val="auto"/>
          <w:w w:val="98"/>
          <w:sz w:val="32"/>
          <w:szCs w:val="32"/>
          <w:highlight w:val="none"/>
        </w:rPr>
        <w:t>；</w:t>
      </w:r>
    </w:p>
    <w:p w14:paraId="7732A74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七</w:t>
      </w:r>
      <w:r>
        <w:rPr>
          <w:rFonts w:hint="eastAsia" w:ascii="仿宋_GB2312" w:hAnsi="仿宋_GB2312" w:eastAsia="仿宋_GB2312" w:cs="仿宋_GB2312"/>
          <w:b w:val="0"/>
          <w:bCs w:val="0"/>
          <w:color w:val="auto"/>
          <w:sz w:val="32"/>
          <w:szCs w:val="32"/>
          <w:highlight w:val="none"/>
        </w:rPr>
        <w:t>）图书资源建设类项目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归口图书馆</w:t>
      </w:r>
      <w:r>
        <w:rPr>
          <w:rFonts w:hint="eastAsia" w:ascii="仿宋_GB2312" w:hAnsi="仿宋_GB2312" w:eastAsia="仿宋_GB2312" w:cs="仿宋_GB2312"/>
          <w:b w:val="0"/>
          <w:bCs w:val="0"/>
          <w:color w:val="auto"/>
          <w:sz w:val="32"/>
          <w:szCs w:val="32"/>
          <w:highlight w:val="none"/>
          <w:lang w:val="en-US" w:eastAsia="zh-CN"/>
        </w:rPr>
        <w:t>管理</w:t>
      </w:r>
      <w:r>
        <w:rPr>
          <w:rFonts w:hint="eastAsia" w:ascii="仿宋_GB2312" w:hAnsi="仿宋_GB2312" w:eastAsia="仿宋_GB2312" w:cs="仿宋_GB2312"/>
          <w:b w:val="0"/>
          <w:bCs w:val="0"/>
          <w:color w:val="auto"/>
          <w:sz w:val="32"/>
          <w:szCs w:val="32"/>
          <w:highlight w:val="none"/>
          <w:lang w:eastAsia="zh-CN"/>
        </w:rPr>
        <w:t>；</w:t>
      </w:r>
    </w:p>
    <w:p w14:paraId="1A1F293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八</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信息化建设类项目，归口信息技术中心管理；</w:t>
      </w:r>
    </w:p>
    <w:p w14:paraId="3DEC26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九</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strike w:val="0"/>
          <w:dstrike w:val="0"/>
          <w:color w:val="auto"/>
          <w:sz w:val="32"/>
          <w:szCs w:val="32"/>
          <w:highlight w:val="none"/>
          <w:lang w:val="en-US" w:eastAsia="zh-CN"/>
        </w:rPr>
        <w:t>专项</w:t>
      </w:r>
      <w:r>
        <w:rPr>
          <w:rFonts w:hint="eastAsia" w:ascii="仿宋_GB2312" w:hAnsi="仿宋_GB2312" w:eastAsia="仿宋_GB2312" w:cs="仿宋_GB2312"/>
          <w:b w:val="0"/>
          <w:bCs w:val="0"/>
          <w:color w:val="auto"/>
          <w:sz w:val="32"/>
          <w:szCs w:val="32"/>
          <w:highlight w:val="none"/>
          <w:lang w:val="en-US" w:eastAsia="zh-CN"/>
        </w:rPr>
        <w:t>保障</w:t>
      </w:r>
      <w:r>
        <w:rPr>
          <w:rFonts w:hint="eastAsia" w:ascii="仿宋_GB2312" w:hAnsi="仿宋_GB2312" w:eastAsia="仿宋_GB2312" w:cs="仿宋_GB2312"/>
          <w:b w:val="0"/>
          <w:bCs w:val="0"/>
          <w:color w:val="auto"/>
          <w:sz w:val="32"/>
          <w:szCs w:val="32"/>
          <w:highlight w:val="none"/>
          <w:lang w:eastAsia="zh-CN"/>
        </w:rPr>
        <w:t>类项目，归口</w:t>
      </w:r>
      <w:r>
        <w:rPr>
          <w:rFonts w:hint="eastAsia" w:ascii="仿宋_GB2312" w:hAnsi="仿宋_GB2312" w:eastAsia="仿宋_GB2312" w:cs="仿宋_GB2312"/>
          <w:b w:val="0"/>
          <w:bCs w:val="0"/>
          <w:color w:val="auto"/>
          <w:sz w:val="32"/>
          <w:szCs w:val="32"/>
          <w:highlight w:val="none"/>
          <w:lang w:val="en-US" w:eastAsia="zh-CN"/>
        </w:rPr>
        <w:t>安全保卫部</w:t>
      </w:r>
      <w:r>
        <w:rPr>
          <w:rFonts w:hint="eastAsia" w:ascii="仿宋_GB2312" w:hAnsi="仿宋_GB2312" w:eastAsia="仿宋_GB2312" w:cs="仿宋_GB2312"/>
          <w:b w:val="0"/>
          <w:bCs w:val="0"/>
          <w:color w:val="auto"/>
          <w:sz w:val="32"/>
          <w:szCs w:val="32"/>
          <w:highlight w:val="none"/>
          <w:lang w:eastAsia="zh-CN"/>
        </w:rPr>
        <w:t>、后勤服务中心</w:t>
      </w:r>
      <w:r>
        <w:rPr>
          <w:rFonts w:hint="eastAsia" w:ascii="仿宋_GB2312" w:hAnsi="仿宋_GB2312" w:eastAsia="仿宋_GB2312" w:cs="仿宋_GB2312"/>
          <w:b w:val="0"/>
          <w:bCs w:val="0"/>
          <w:color w:val="auto"/>
          <w:sz w:val="32"/>
          <w:szCs w:val="32"/>
          <w:highlight w:val="none"/>
          <w:lang w:val="en-US" w:eastAsia="zh-CN"/>
        </w:rPr>
        <w:t>等部门管理；</w:t>
      </w:r>
    </w:p>
    <w:p w14:paraId="0AE9854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（十）</w:t>
      </w:r>
      <w:r>
        <w:rPr>
          <w:rFonts w:hint="eastAsia" w:ascii="仿宋_GB2312" w:hAnsi="仿宋_GB2312" w:eastAsia="仿宋_GB2312" w:cs="仿宋_GB2312"/>
          <w:b w:val="0"/>
          <w:bCs w:val="0"/>
          <w:color w:val="auto"/>
          <w:sz w:val="32"/>
          <w:szCs w:val="32"/>
          <w:highlight w:val="none"/>
          <w:lang w:eastAsia="zh-CN"/>
        </w:rPr>
        <w:t>上述以外的其他</w:t>
      </w:r>
      <w:r>
        <w:rPr>
          <w:rFonts w:hint="eastAsia" w:ascii="仿宋_GB2312" w:hAnsi="仿宋_GB2312" w:eastAsia="仿宋_GB2312" w:cs="仿宋_GB2312"/>
          <w:b w:val="0"/>
          <w:bCs w:val="0"/>
          <w:color w:val="auto"/>
          <w:sz w:val="32"/>
          <w:szCs w:val="32"/>
          <w:highlight w:val="none"/>
          <w:lang w:val="en-US" w:eastAsia="zh-CN"/>
        </w:rPr>
        <w:t>建设</w:t>
      </w:r>
      <w:r>
        <w:rPr>
          <w:rFonts w:hint="eastAsia" w:ascii="仿宋_GB2312" w:hAnsi="仿宋_GB2312" w:eastAsia="仿宋_GB2312" w:cs="仿宋_GB2312"/>
          <w:b w:val="0"/>
          <w:bCs w:val="0"/>
          <w:color w:val="auto"/>
          <w:sz w:val="32"/>
          <w:szCs w:val="32"/>
          <w:highlight w:val="none"/>
          <w:lang w:eastAsia="zh-CN"/>
        </w:rPr>
        <w:t>项目，根据工作职能确定归</w:t>
      </w:r>
      <w:r>
        <w:rPr>
          <w:rFonts w:hint="eastAsia" w:ascii="仿宋_GB2312" w:hAnsi="仿宋_GB2312" w:eastAsia="仿宋_GB2312" w:cs="仿宋_GB2312"/>
          <w:color w:val="auto"/>
          <w:sz w:val="32"/>
          <w:szCs w:val="32"/>
          <w:highlight w:val="none"/>
          <w:lang w:eastAsia="zh-CN"/>
        </w:rPr>
        <w:t>口管理部门。</w:t>
      </w:r>
    </w:p>
    <w:p w14:paraId="347FBD92">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b/>
          <w:bCs/>
          <w:color w:val="auto"/>
          <w:kern w:val="0"/>
          <w:sz w:val="32"/>
          <w:szCs w:val="32"/>
          <w:highlight w:val="none"/>
          <w:lang w:val="en-US" w:eastAsia="zh-CN" w:bidi="ar"/>
        </w:rPr>
      </w:pPr>
      <w:r>
        <w:rPr>
          <w:rFonts w:hint="eastAsia" w:ascii="Times New Roman" w:hAnsi="Times New Roman" w:eastAsia="仿宋_GB2312" w:cs="Times New Roman"/>
          <w:b/>
          <w:bCs/>
          <w:color w:val="auto"/>
          <w:kern w:val="0"/>
          <w:sz w:val="32"/>
          <w:szCs w:val="32"/>
          <w:highlight w:val="none"/>
          <w:lang w:val="en-US" w:eastAsia="zh-CN" w:bidi="ar"/>
        </w:rPr>
        <w:t>（2）项目评审</w:t>
      </w:r>
    </w:p>
    <w:p w14:paraId="79B4FA59">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eastAsia" w:ascii="Times New Roman" w:hAnsi="Times New Roman" w:eastAsia="仿宋_GB2312" w:cs="Times New Roman"/>
          <w:b/>
          <w:bCs/>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申报项目经计划财务处、发展规划处</w:t>
      </w:r>
      <w:r>
        <w:rPr>
          <w:rFonts w:hint="eastAsia" w:ascii="仿宋_GB2312" w:hAnsi="仿宋_GB2312" w:eastAsia="仿宋_GB2312" w:cs="仿宋_GB2312"/>
          <w:color w:val="auto"/>
          <w:sz w:val="32"/>
          <w:szCs w:val="32"/>
          <w:highlight w:val="none"/>
        </w:rPr>
        <w:t>进行形式审查</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Times New Roman"/>
          <w:color w:val="auto"/>
          <w:kern w:val="0"/>
          <w:sz w:val="32"/>
          <w:szCs w:val="32"/>
          <w:highlight w:val="none"/>
          <w:lang w:val="en-US" w:eastAsia="zh-CN" w:bidi="ar"/>
        </w:rPr>
        <w:t>按轻重缓急排序后，作为项目储备纳入项目库管理</w:t>
      </w:r>
      <w:r>
        <w:rPr>
          <w:rFonts w:hint="eastAsia" w:ascii="Times New Roman" w:hAnsi="Times New Roman" w:eastAsia="仿宋_GB2312" w:cs="Times New Roman"/>
          <w:b/>
          <w:bCs/>
          <w:color w:val="auto"/>
          <w:kern w:val="0"/>
          <w:sz w:val="32"/>
          <w:szCs w:val="32"/>
          <w:highlight w:val="none"/>
          <w:lang w:val="en-US" w:eastAsia="zh-CN" w:bidi="ar"/>
        </w:rPr>
        <w:t>。未纳入项目库的项目，一律不予安排预算。</w:t>
      </w:r>
    </w:p>
    <w:p w14:paraId="31EC8B35">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hint="default" w:ascii="Times New Roman" w:hAnsi="Times New Roman" w:eastAsia="仿宋_GB2312" w:cs="Times New Roman"/>
          <w:b/>
          <w:bCs/>
          <w:color w:val="auto"/>
          <w:kern w:val="0"/>
          <w:sz w:val="32"/>
          <w:szCs w:val="32"/>
          <w:highlight w:val="none"/>
          <w:lang w:val="en-US" w:eastAsia="zh-CN" w:bidi="ar"/>
        </w:rPr>
      </w:pPr>
      <w:r>
        <w:rPr>
          <w:rFonts w:hint="eastAsia" w:ascii="Times New Roman" w:hAnsi="Times New Roman" w:eastAsia="仿宋_GB2312" w:cs="Times New Roman"/>
          <w:b/>
          <w:bCs/>
          <w:color w:val="auto"/>
          <w:kern w:val="0"/>
          <w:sz w:val="32"/>
          <w:szCs w:val="32"/>
          <w:highlight w:val="none"/>
          <w:lang w:val="en-US" w:eastAsia="zh-CN" w:bidi="ar"/>
        </w:rPr>
        <w:t>（3）项目选取</w:t>
      </w:r>
    </w:p>
    <w:p w14:paraId="622B6E0C">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555"/>
        <w:textAlignment w:val="auto"/>
        <w:rPr>
          <w:rFonts w:ascii="Times New Roman" w:hAnsi="Times New Roman" w:eastAsia="仿宋_GB2312" w:cs="Times New Roman"/>
          <w:b w:val="0"/>
          <w:bCs w:val="0"/>
          <w:color w:val="auto"/>
          <w:kern w:val="0"/>
          <w:sz w:val="32"/>
          <w:szCs w:val="32"/>
          <w:highlight w:val="none"/>
          <w:lang w:bidi="ar"/>
        </w:rPr>
      </w:pPr>
      <w:r>
        <w:rPr>
          <w:rFonts w:ascii="Times New Roman" w:hAnsi="Times New Roman" w:eastAsia="仿宋_GB2312" w:cs="Times New Roman"/>
          <w:b w:val="0"/>
          <w:bCs w:val="0"/>
          <w:color w:val="auto"/>
          <w:kern w:val="0"/>
          <w:sz w:val="32"/>
          <w:szCs w:val="32"/>
          <w:highlight w:val="none"/>
          <w:lang w:bidi="ar"/>
        </w:rPr>
        <w:t>对纳入学校项目库管理的项目，</w:t>
      </w:r>
      <w:r>
        <w:rPr>
          <w:rFonts w:hint="eastAsia" w:ascii="仿宋_GB2312" w:hAnsi="仿宋_GB2312" w:eastAsia="仿宋_GB2312" w:cs="仿宋_GB2312"/>
          <w:color w:val="auto"/>
          <w:sz w:val="32"/>
          <w:szCs w:val="32"/>
          <w:highlight w:val="none"/>
          <w:lang w:val="en-US" w:eastAsia="zh-CN"/>
        </w:rPr>
        <w:t>由计划财务处会同校长</w:t>
      </w:r>
      <w:r>
        <w:rPr>
          <w:rFonts w:hint="eastAsia" w:ascii="仿宋_GB2312" w:hAnsi="仿宋_GB2312" w:eastAsia="仿宋_GB2312" w:cs="仿宋_GB2312"/>
          <w:b w:val="0"/>
          <w:bCs w:val="0"/>
          <w:color w:val="auto"/>
          <w:sz w:val="32"/>
          <w:szCs w:val="32"/>
          <w:highlight w:val="none"/>
          <w:lang w:val="en-US" w:eastAsia="zh-CN"/>
        </w:rPr>
        <w:t>办公室</w:t>
      </w:r>
      <w:r>
        <w:rPr>
          <w:rFonts w:hint="eastAsia" w:ascii="仿宋_GB2312" w:hAnsi="仿宋_GB2312" w:eastAsia="仿宋_GB2312" w:cs="仿宋_GB2312"/>
          <w:color w:val="auto"/>
          <w:sz w:val="32"/>
          <w:szCs w:val="32"/>
          <w:highlight w:val="none"/>
          <w:lang w:val="en-US" w:eastAsia="zh-CN"/>
        </w:rPr>
        <w:t>、发展规划处等部门组织召开专题会议，根据学校发展建设需要及财力状况</w:t>
      </w:r>
      <w:r>
        <w:rPr>
          <w:rFonts w:ascii="Times New Roman" w:hAnsi="Times New Roman" w:eastAsia="仿宋_GB2312" w:cs="Times New Roman"/>
          <w:b w:val="0"/>
          <w:bCs w:val="0"/>
          <w:color w:val="auto"/>
          <w:kern w:val="0"/>
          <w:sz w:val="32"/>
          <w:szCs w:val="32"/>
          <w:highlight w:val="none"/>
          <w:lang w:bidi="ar"/>
        </w:rPr>
        <w:t>，按照轻重缓急原则从项目库中遴选相关项目纳入202</w:t>
      </w:r>
      <w:r>
        <w:rPr>
          <w:rFonts w:hint="eastAsia" w:ascii="Times New Roman" w:hAnsi="Times New Roman" w:eastAsia="仿宋_GB2312" w:cs="Times New Roman"/>
          <w:b w:val="0"/>
          <w:bCs w:val="0"/>
          <w:color w:val="auto"/>
          <w:kern w:val="0"/>
          <w:sz w:val="32"/>
          <w:szCs w:val="32"/>
          <w:highlight w:val="none"/>
          <w:lang w:val="en-US" w:eastAsia="zh-CN" w:bidi="ar"/>
        </w:rPr>
        <w:t>6</w:t>
      </w:r>
      <w:r>
        <w:rPr>
          <w:rFonts w:ascii="Times New Roman" w:hAnsi="Times New Roman" w:eastAsia="仿宋_GB2312" w:cs="Times New Roman"/>
          <w:b w:val="0"/>
          <w:bCs w:val="0"/>
          <w:color w:val="auto"/>
          <w:kern w:val="0"/>
          <w:sz w:val="32"/>
          <w:szCs w:val="32"/>
          <w:highlight w:val="none"/>
          <w:lang w:bidi="ar"/>
        </w:rPr>
        <w:t>年项目支出预算，并在此基础上，结合项目未来分配使用情况，由项目申报部门对项目涉及的政府采购预算及绩效目标做进一步细化。 </w:t>
      </w:r>
    </w:p>
    <w:p w14:paraId="7FC964DB">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b w:val="0"/>
          <w:bCs w:val="0"/>
          <w:color w:val="auto"/>
          <w:kern w:val="0"/>
          <w:sz w:val="32"/>
          <w:szCs w:val="32"/>
          <w:highlight w:val="none"/>
          <w:lang w:eastAsia="zh-CN" w:bidi="ar"/>
        </w:rPr>
      </w:pPr>
      <w:r>
        <w:rPr>
          <w:rFonts w:hint="eastAsia" w:ascii="Times New Roman" w:hAnsi="Times New Roman" w:eastAsia="仿宋_GB2312" w:cs="Times New Roman"/>
          <w:b/>
          <w:bCs/>
          <w:color w:val="auto"/>
          <w:kern w:val="0"/>
          <w:sz w:val="32"/>
          <w:szCs w:val="32"/>
          <w:highlight w:val="none"/>
          <w:lang w:val="en-US" w:eastAsia="zh-CN" w:bidi="ar"/>
        </w:rPr>
        <w:t>为方便部门进行专项项目预算申报，纳入项目库管理的专项支出类项目清单将另行下发至各相关部门。</w:t>
      </w:r>
      <w:r>
        <w:rPr>
          <w:rFonts w:ascii="Times New Roman" w:hAnsi="Times New Roman" w:eastAsia="仿宋_GB2312" w:cs="Times New Roman"/>
          <w:b w:val="0"/>
          <w:bCs w:val="0"/>
          <w:color w:val="auto"/>
          <w:kern w:val="0"/>
          <w:sz w:val="32"/>
          <w:szCs w:val="32"/>
          <w:highlight w:val="none"/>
          <w:lang w:bidi="ar"/>
        </w:rPr>
        <w:t>各部门（学院）在编制2026年</w:t>
      </w:r>
      <w:r>
        <w:rPr>
          <w:rFonts w:hint="eastAsia" w:ascii="Times New Roman" w:hAnsi="Times New Roman" w:eastAsia="仿宋_GB2312" w:cs="Times New Roman"/>
          <w:b w:val="0"/>
          <w:bCs w:val="0"/>
          <w:color w:val="auto"/>
          <w:kern w:val="0"/>
          <w:sz w:val="32"/>
          <w:szCs w:val="32"/>
          <w:highlight w:val="none"/>
          <w:lang w:val="en-US" w:eastAsia="zh-CN" w:bidi="ar"/>
        </w:rPr>
        <w:t>专项</w:t>
      </w:r>
      <w:r>
        <w:rPr>
          <w:rFonts w:ascii="Times New Roman" w:hAnsi="Times New Roman" w:eastAsia="仿宋_GB2312" w:cs="Times New Roman"/>
          <w:b w:val="0"/>
          <w:bCs w:val="0"/>
          <w:color w:val="auto"/>
          <w:kern w:val="0"/>
          <w:sz w:val="32"/>
          <w:szCs w:val="32"/>
          <w:highlight w:val="none"/>
          <w:lang w:bidi="ar"/>
        </w:rPr>
        <w:t>支出预算时，对于</w:t>
      </w:r>
      <w:r>
        <w:rPr>
          <w:rFonts w:hint="eastAsia" w:ascii="Times New Roman" w:hAnsi="Times New Roman" w:eastAsia="仿宋_GB2312" w:cs="Times New Roman"/>
          <w:b w:val="0"/>
          <w:bCs w:val="0"/>
          <w:color w:val="auto"/>
          <w:kern w:val="0"/>
          <w:sz w:val="32"/>
          <w:szCs w:val="32"/>
          <w:highlight w:val="none"/>
          <w:lang w:val="en-US" w:eastAsia="zh-CN" w:bidi="ar"/>
        </w:rPr>
        <w:t>清单内</w:t>
      </w:r>
      <w:r>
        <w:rPr>
          <w:rFonts w:ascii="Times New Roman" w:hAnsi="Times New Roman" w:eastAsia="仿宋_GB2312" w:cs="Times New Roman"/>
          <w:b w:val="0"/>
          <w:bCs w:val="0"/>
          <w:color w:val="auto"/>
          <w:kern w:val="0"/>
          <w:sz w:val="32"/>
          <w:szCs w:val="32"/>
          <w:highlight w:val="none"/>
          <w:lang w:bidi="ar"/>
        </w:rPr>
        <w:t>项目及</w:t>
      </w:r>
      <w:r>
        <w:rPr>
          <w:rFonts w:ascii="Times New Roman" w:hAnsi="Times New Roman" w:eastAsia="仿宋_GB2312" w:cs="Times New Roman"/>
          <w:b/>
          <w:bCs/>
          <w:color w:val="auto"/>
          <w:kern w:val="0"/>
          <w:sz w:val="32"/>
          <w:szCs w:val="32"/>
          <w:highlight w:val="none"/>
          <w:lang w:bidi="ar"/>
        </w:rPr>
        <w:t>新增属项目库管理范畴的项目</w:t>
      </w:r>
      <w:r>
        <w:rPr>
          <w:rFonts w:ascii="Times New Roman" w:hAnsi="Times New Roman" w:eastAsia="仿宋_GB2312" w:cs="Times New Roman"/>
          <w:b w:val="0"/>
          <w:bCs w:val="0"/>
          <w:color w:val="auto"/>
          <w:kern w:val="0"/>
          <w:sz w:val="32"/>
          <w:szCs w:val="32"/>
          <w:highlight w:val="none"/>
          <w:lang w:bidi="ar"/>
        </w:rPr>
        <w:t>，均须严格按照《湖州师范学院项目库管理办法》履行申报、论证、评审、入库及出库等管理程序</w:t>
      </w:r>
      <w:r>
        <w:rPr>
          <w:rFonts w:hint="eastAsia" w:ascii="Times New Roman" w:hAnsi="Times New Roman" w:eastAsia="仿宋_GB2312" w:cs="Times New Roman"/>
          <w:b w:val="0"/>
          <w:bCs w:val="0"/>
          <w:color w:val="auto"/>
          <w:kern w:val="0"/>
          <w:sz w:val="32"/>
          <w:szCs w:val="32"/>
          <w:highlight w:val="none"/>
          <w:lang w:eastAsia="zh-CN" w:bidi="ar"/>
        </w:rPr>
        <w:t>。</w:t>
      </w:r>
    </w:p>
    <w:p w14:paraId="5F8F21F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b/>
          <w:bCs/>
          <w:color w:val="auto"/>
          <w:kern w:val="0"/>
          <w:sz w:val="32"/>
          <w:szCs w:val="32"/>
          <w:highlight w:val="none"/>
          <w:lang w:eastAsia="zh-CN" w:bidi="ar"/>
        </w:rPr>
      </w:pPr>
      <w:r>
        <w:rPr>
          <w:rFonts w:hint="eastAsia" w:ascii="Times New Roman" w:hAnsi="Times New Roman" w:eastAsia="仿宋_GB2312" w:cs="Times New Roman"/>
          <w:b/>
          <w:bCs/>
          <w:color w:val="auto"/>
          <w:kern w:val="0"/>
          <w:sz w:val="32"/>
          <w:szCs w:val="32"/>
          <w:highlight w:val="none"/>
          <w:lang w:val="en-US" w:eastAsia="zh-CN" w:bidi="ar"/>
        </w:rPr>
        <w:t>4</w:t>
      </w:r>
      <w:r>
        <w:rPr>
          <w:rFonts w:ascii="Times New Roman" w:hAnsi="Times New Roman" w:eastAsia="仿宋_GB2312" w:cs="Times New Roman"/>
          <w:b/>
          <w:bCs/>
          <w:color w:val="auto"/>
          <w:kern w:val="0"/>
          <w:sz w:val="32"/>
          <w:szCs w:val="32"/>
          <w:highlight w:val="none"/>
          <w:lang w:bidi="ar"/>
        </w:rPr>
        <w:t>.政府采购（资产）预算</w:t>
      </w:r>
    </w:p>
    <w:p w14:paraId="5E425ED3">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val="0"/>
          <w:color w:val="auto"/>
          <w:kern w:val="0"/>
          <w:sz w:val="32"/>
          <w:szCs w:val="32"/>
          <w:highlight w:val="none"/>
          <w:lang w:val="en-US" w:eastAsia="zh-CN" w:bidi="ar"/>
        </w:rPr>
      </w:pPr>
      <w:r>
        <w:rPr>
          <w:rFonts w:ascii="Times New Roman" w:hAnsi="Times New Roman" w:eastAsia="仿宋_GB2312" w:cs="Times New Roman"/>
          <w:b w:val="0"/>
          <w:bCs w:val="0"/>
          <w:color w:val="auto"/>
          <w:kern w:val="0"/>
          <w:sz w:val="32"/>
          <w:szCs w:val="32"/>
          <w:highlight w:val="none"/>
          <w:lang w:bidi="ar"/>
        </w:rPr>
        <w:t>各部门和学院采购纳入集中采购目录或虽未纳入集中采购目录，但单项或年度批量预算金额在政府采购限额标准之上的货物、工程和服务，应依法编制政府采购预算，实行政府采购。</w:t>
      </w:r>
      <w:r>
        <w:rPr>
          <w:rFonts w:hint="eastAsia" w:ascii="Times New Roman" w:hAnsi="Times New Roman" w:eastAsia="仿宋_GB2312" w:cs="Times New Roman"/>
          <w:b w:val="0"/>
          <w:bCs w:val="0"/>
          <w:color w:val="auto"/>
          <w:kern w:val="0"/>
          <w:sz w:val="32"/>
          <w:szCs w:val="32"/>
          <w:highlight w:val="none"/>
          <w:lang w:val="en-US" w:eastAsia="zh-CN" w:bidi="ar"/>
        </w:rPr>
        <w:t>2026年开始，在正常申报部门预算的基础上，新增年度采购计划申报，具体申报要求详见《关于2026年政府采购计划申报工作的通知》。</w:t>
      </w:r>
    </w:p>
    <w:p w14:paraId="056EA361">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line="560" w:lineRule="exact"/>
        <w:ind w:left="0" w:leftChars="0" w:firstLine="420"/>
        <w:jc w:val="left"/>
        <w:textAlignment w:val="auto"/>
        <w:rPr>
          <w:rStyle w:val="8"/>
          <w:rFonts w:ascii="Times New Roman" w:hAnsi="Times New Roman" w:eastAsia="楷体_GB2312" w:cs="Times New Roman"/>
          <w:color w:val="auto"/>
          <w:kern w:val="0"/>
          <w:sz w:val="32"/>
          <w:szCs w:val="32"/>
          <w:highlight w:val="none"/>
          <w:shd w:val="clear" w:color="auto" w:fill="FFFFFF"/>
          <w:lang w:bidi="ar"/>
        </w:rPr>
      </w:pPr>
      <w:r>
        <w:rPr>
          <w:rStyle w:val="8"/>
          <w:rFonts w:ascii="Times New Roman" w:hAnsi="Times New Roman" w:eastAsia="楷体_GB2312" w:cs="Times New Roman"/>
          <w:color w:val="auto"/>
          <w:kern w:val="0"/>
          <w:sz w:val="32"/>
          <w:szCs w:val="32"/>
          <w:highlight w:val="none"/>
          <w:shd w:val="clear" w:color="auto" w:fill="FFFFFF"/>
          <w:lang w:bidi="ar"/>
        </w:rPr>
        <w:t>编制注意事项</w:t>
      </w:r>
    </w:p>
    <w:p w14:paraId="16B2C192">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3" w:firstLineChars="200"/>
        <w:jc w:val="left"/>
        <w:textAlignment w:val="auto"/>
        <w:rPr>
          <w:rFonts w:ascii="Times New Roman" w:hAnsi="Times New Roman" w:eastAsia="仿宋_GB2312" w:cs="Times New Roman"/>
          <w:b/>
          <w:bCs/>
          <w:color w:val="auto"/>
          <w:kern w:val="0"/>
          <w:sz w:val="32"/>
          <w:szCs w:val="32"/>
          <w:highlight w:val="none"/>
          <w:lang w:bidi="ar"/>
        </w:rPr>
      </w:pPr>
      <w:r>
        <w:rPr>
          <w:rFonts w:hint="eastAsia" w:ascii="Times New Roman" w:hAnsi="Times New Roman" w:eastAsia="仿宋_GB2312" w:cs="Times New Roman"/>
          <w:b/>
          <w:bCs/>
          <w:color w:val="auto"/>
          <w:kern w:val="0"/>
          <w:sz w:val="32"/>
          <w:szCs w:val="32"/>
          <w:highlight w:val="none"/>
          <w:lang w:bidi="ar"/>
        </w:rPr>
        <w:t>根据市财政202</w:t>
      </w:r>
      <w:r>
        <w:rPr>
          <w:rFonts w:hint="eastAsia" w:ascii="Times New Roman" w:hAnsi="Times New Roman" w:eastAsia="仿宋_GB2312" w:cs="Times New Roman"/>
          <w:b/>
          <w:bCs/>
          <w:color w:val="auto"/>
          <w:kern w:val="0"/>
          <w:sz w:val="32"/>
          <w:szCs w:val="32"/>
          <w:highlight w:val="none"/>
          <w:lang w:val="en-US" w:eastAsia="zh-CN" w:bidi="ar"/>
        </w:rPr>
        <w:t>6</w:t>
      </w:r>
      <w:r>
        <w:rPr>
          <w:rFonts w:hint="eastAsia" w:ascii="Times New Roman" w:hAnsi="Times New Roman" w:eastAsia="仿宋_GB2312" w:cs="Times New Roman"/>
          <w:b/>
          <w:bCs/>
          <w:color w:val="auto"/>
          <w:kern w:val="0"/>
          <w:sz w:val="32"/>
          <w:szCs w:val="32"/>
          <w:highlight w:val="none"/>
          <w:lang w:bidi="ar"/>
        </w:rPr>
        <w:t>年预算编制要求，各单位在进行会议培训、委托业务费和设备购置的预算申报时需注意以下事项：</w:t>
      </w:r>
    </w:p>
    <w:p w14:paraId="1D6257D5">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color w:val="auto"/>
          <w:kern w:val="0"/>
          <w:sz w:val="32"/>
          <w:szCs w:val="32"/>
          <w:highlight w:val="none"/>
          <w:lang w:eastAsia="zh-CN" w:bidi="ar"/>
        </w:rPr>
      </w:pPr>
      <w:r>
        <w:rPr>
          <w:rFonts w:hint="eastAsia" w:ascii="Times New Roman" w:hAnsi="Times New Roman" w:eastAsia="仿宋_GB2312" w:cs="Times New Roman"/>
          <w:color w:val="auto"/>
          <w:kern w:val="0"/>
          <w:sz w:val="32"/>
          <w:szCs w:val="32"/>
          <w:highlight w:val="none"/>
          <w:lang w:bidi="ar"/>
        </w:rPr>
        <w:t>1.会议费、培训费、差旅费原则上“只减不增”</w:t>
      </w:r>
      <w:r>
        <w:rPr>
          <w:rFonts w:hint="eastAsia" w:ascii="Times New Roman" w:hAnsi="Times New Roman" w:eastAsia="仿宋_GB2312" w:cs="Times New Roman"/>
          <w:color w:val="auto"/>
          <w:kern w:val="0"/>
          <w:sz w:val="32"/>
          <w:szCs w:val="32"/>
          <w:highlight w:val="none"/>
          <w:lang w:eastAsia="zh-CN" w:bidi="ar"/>
        </w:rPr>
        <w:t>，</w:t>
      </w:r>
      <w:r>
        <w:rPr>
          <w:rFonts w:hint="eastAsia" w:ascii="Times New Roman" w:hAnsi="Times New Roman" w:eastAsia="仿宋_GB2312" w:cs="Times New Roman"/>
          <w:color w:val="auto"/>
          <w:kern w:val="0"/>
          <w:sz w:val="32"/>
          <w:szCs w:val="32"/>
          <w:highlight w:val="none"/>
          <w:lang w:bidi="ar"/>
        </w:rPr>
        <w:t>严格实施</w:t>
      </w:r>
      <w:r>
        <w:rPr>
          <w:rFonts w:ascii="Times New Roman" w:hAnsi="Times New Roman" w:eastAsia="仿宋_GB2312" w:cs="Times New Roman"/>
          <w:color w:val="auto"/>
          <w:kern w:val="0"/>
          <w:sz w:val="32"/>
          <w:szCs w:val="32"/>
          <w:highlight w:val="none"/>
          <w:lang w:bidi="ar"/>
        </w:rPr>
        <w:t>计划管理</w:t>
      </w:r>
      <w:r>
        <w:rPr>
          <w:rFonts w:hint="eastAsia" w:ascii="Times New Roman" w:hAnsi="Times New Roman" w:eastAsia="仿宋_GB2312" w:cs="Times New Roman"/>
          <w:color w:val="auto"/>
          <w:kern w:val="0"/>
          <w:sz w:val="32"/>
          <w:szCs w:val="32"/>
          <w:highlight w:val="none"/>
          <w:lang w:bidi="ar"/>
        </w:rPr>
        <w:t>和开支范围、标准执行</w:t>
      </w:r>
      <w:r>
        <w:rPr>
          <w:rFonts w:ascii="Times New Roman" w:hAnsi="Times New Roman" w:eastAsia="仿宋_GB2312" w:cs="Times New Roman"/>
          <w:color w:val="auto"/>
          <w:kern w:val="0"/>
          <w:sz w:val="32"/>
          <w:szCs w:val="32"/>
          <w:highlight w:val="none"/>
          <w:lang w:bidi="ar"/>
        </w:rPr>
        <w:t>，优先使用单位内部会议室、礼堂等场所，严控时间和规模</w:t>
      </w:r>
      <w:r>
        <w:rPr>
          <w:rFonts w:hint="eastAsia" w:ascii="Times New Roman" w:hAnsi="Times New Roman" w:eastAsia="仿宋_GB2312" w:cs="Times New Roman"/>
          <w:color w:val="auto"/>
          <w:kern w:val="0"/>
          <w:sz w:val="32"/>
          <w:szCs w:val="32"/>
          <w:highlight w:val="none"/>
          <w:lang w:bidi="ar"/>
        </w:rPr>
        <w:t>。</w:t>
      </w:r>
    </w:p>
    <w:p w14:paraId="07AA38F3">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color w:val="auto"/>
          <w:kern w:val="0"/>
          <w:sz w:val="32"/>
          <w:szCs w:val="32"/>
          <w:highlight w:val="none"/>
          <w:lang w:eastAsia="zh-CN" w:bidi="ar"/>
        </w:rPr>
      </w:pPr>
      <w:r>
        <w:rPr>
          <w:rFonts w:hint="eastAsia" w:ascii="Times New Roman" w:hAnsi="Times New Roman" w:eastAsia="仿宋_GB2312" w:cs="Times New Roman"/>
          <w:color w:val="auto"/>
          <w:kern w:val="0"/>
          <w:sz w:val="32"/>
          <w:szCs w:val="32"/>
          <w:highlight w:val="none"/>
          <w:lang w:val="en-US" w:eastAsia="zh-CN" w:bidi="ar"/>
        </w:rPr>
        <w:t>2.</w:t>
      </w:r>
      <w:r>
        <w:rPr>
          <w:rFonts w:hint="eastAsia" w:ascii="Times New Roman" w:hAnsi="Times New Roman" w:eastAsia="仿宋_GB2312" w:cs="Times New Roman"/>
          <w:color w:val="auto"/>
          <w:kern w:val="0"/>
          <w:sz w:val="32"/>
          <w:szCs w:val="32"/>
          <w:highlight w:val="none"/>
          <w:lang w:bidi="ar"/>
        </w:rPr>
        <w:t>市级重大会议、活动实行清单管理，未纳入市两办清单的，不得举办</w:t>
      </w:r>
      <w:r>
        <w:rPr>
          <w:rFonts w:hint="eastAsia" w:ascii="Times New Roman" w:hAnsi="Times New Roman" w:eastAsia="仿宋_GB2312" w:cs="Times New Roman"/>
          <w:color w:val="auto"/>
          <w:kern w:val="0"/>
          <w:sz w:val="32"/>
          <w:szCs w:val="32"/>
          <w:highlight w:val="none"/>
          <w:lang w:eastAsia="zh-CN" w:bidi="ar"/>
        </w:rPr>
        <w:t>。</w:t>
      </w:r>
    </w:p>
    <w:p w14:paraId="4BD426D0">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color w:val="auto"/>
          <w:kern w:val="0"/>
          <w:sz w:val="32"/>
          <w:szCs w:val="32"/>
          <w:highlight w:val="none"/>
          <w:lang w:eastAsia="zh-CN" w:bidi="ar"/>
        </w:rPr>
      </w:pPr>
      <w:r>
        <w:rPr>
          <w:rFonts w:hint="eastAsia" w:ascii="Times New Roman" w:hAnsi="Times New Roman" w:eastAsia="仿宋_GB2312" w:cs="Times New Roman"/>
          <w:color w:val="auto"/>
          <w:kern w:val="0"/>
          <w:sz w:val="32"/>
          <w:szCs w:val="32"/>
          <w:highlight w:val="none"/>
          <w:lang w:val="en-US" w:eastAsia="zh-CN" w:bidi="ar"/>
        </w:rPr>
        <w:t>3.</w:t>
      </w:r>
      <w:r>
        <w:rPr>
          <w:rFonts w:hint="eastAsia" w:ascii="Times New Roman" w:hAnsi="Times New Roman" w:eastAsia="仿宋_GB2312" w:cs="Times New Roman"/>
          <w:color w:val="auto"/>
          <w:kern w:val="0"/>
          <w:sz w:val="32"/>
          <w:szCs w:val="32"/>
          <w:highlight w:val="none"/>
          <w:lang w:bidi="ar"/>
        </w:rPr>
        <w:t>单位系统内部会议培训等公务政务活动，原则上不安排电子演示文稿制作经费和网络直播经费</w:t>
      </w:r>
      <w:r>
        <w:rPr>
          <w:rFonts w:hint="eastAsia" w:ascii="Times New Roman" w:hAnsi="Times New Roman" w:eastAsia="仿宋_GB2312" w:cs="Times New Roman"/>
          <w:color w:val="auto"/>
          <w:kern w:val="0"/>
          <w:sz w:val="32"/>
          <w:szCs w:val="32"/>
          <w:highlight w:val="none"/>
          <w:lang w:eastAsia="zh-CN" w:bidi="ar"/>
        </w:rPr>
        <w:t>。</w:t>
      </w:r>
    </w:p>
    <w:p w14:paraId="59E44089">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4.委托业务费预算原则上“只减不增”。单位内部档案整理、PPT制作、政策制定、绩效自评、自主开展的课题研究、一般性规划等工作，不得委托第三方实施，不得编入2026年预算。</w:t>
      </w:r>
    </w:p>
    <w:p w14:paraId="291C5AC1">
      <w:pPr>
        <w:keepNext w:val="0"/>
        <w:keepLines w:val="0"/>
        <w:pageBreakBefore w:val="0"/>
        <w:widowControl/>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color w:val="auto"/>
          <w:kern w:val="0"/>
          <w:sz w:val="32"/>
          <w:szCs w:val="32"/>
          <w:highlight w:val="none"/>
          <w:lang w:val="en-US" w:eastAsia="zh-CN" w:bidi="ar"/>
        </w:rPr>
      </w:pPr>
      <w:r>
        <w:rPr>
          <w:rFonts w:hint="eastAsia" w:ascii="Times New Roman" w:hAnsi="Times New Roman" w:eastAsia="仿宋_GB2312" w:cs="Times New Roman"/>
          <w:color w:val="auto"/>
          <w:kern w:val="0"/>
          <w:sz w:val="32"/>
          <w:szCs w:val="32"/>
          <w:highlight w:val="none"/>
          <w:lang w:val="en-US" w:eastAsia="zh-CN" w:bidi="ar"/>
        </w:rPr>
        <w:t>5.严禁购置空气净化器、咖啡机等非办公必需设备，从严控制照相机、摄像机及相关配件等专用设备配置。</w:t>
      </w:r>
    </w:p>
    <w:p w14:paraId="16E1B38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525"/>
        <w:jc w:val="both"/>
        <w:textAlignment w:val="auto"/>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四、编报程序和时间安排</w:t>
      </w:r>
    </w:p>
    <w:p w14:paraId="0A1BF79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525"/>
        <w:jc w:val="both"/>
        <w:textAlignment w:val="auto"/>
        <w:rPr>
          <w:rFonts w:ascii="Times New Roman" w:hAnsi="Times New Roman" w:eastAsia="仿宋_GB2312"/>
          <w:color w:val="auto"/>
          <w:sz w:val="32"/>
          <w:szCs w:val="32"/>
          <w:highlight w:val="none"/>
          <w:lang w:bidi="ar"/>
        </w:rPr>
      </w:pPr>
      <w:r>
        <w:rPr>
          <w:rFonts w:ascii="Times New Roman" w:hAnsi="Times New Roman" w:eastAsia="仿宋_GB2312"/>
          <w:color w:val="auto"/>
          <w:sz w:val="32"/>
          <w:szCs w:val="32"/>
          <w:highlight w:val="none"/>
          <w:lang w:bidi="ar"/>
        </w:rPr>
        <w:t>根据</w:t>
      </w:r>
      <w:r>
        <w:rPr>
          <w:rFonts w:hint="eastAsia" w:ascii="Times New Roman" w:hAnsi="Times New Roman" w:eastAsia="仿宋_GB2312"/>
          <w:color w:val="auto"/>
          <w:sz w:val="32"/>
          <w:szCs w:val="32"/>
          <w:highlight w:val="none"/>
          <w:lang w:bidi="ar"/>
        </w:rPr>
        <w:t>市</w:t>
      </w:r>
      <w:r>
        <w:rPr>
          <w:rFonts w:ascii="Times New Roman" w:hAnsi="Times New Roman" w:eastAsia="仿宋_GB2312"/>
          <w:color w:val="auto"/>
          <w:sz w:val="32"/>
          <w:szCs w:val="32"/>
          <w:highlight w:val="none"/>
          <w:lang w:bidi="ar"/>
        </w:rPr>
        <w:t>财政</w:t>
      </w:r>
      <w:r>
        <w:rPr>
          <w:rFonts w:hint="eastAsia" w:ascii="Times New Roman" w:hAnsi="Times New Roman" w:eastAsia="仿宋_GB2312"/>
          <w:color w:val="auto"/>
          <w:sz w:val="32"/>
          <w:szCs w:val="32"/>
          <w:highlight w:val="none"/>
          <w:lang w:val="en-US" w:eastAsia="zh-CN" w:bidi="ar"/>
        </w:rPr>
        <w:t>2026</w:t>
      </w:r>
      <w:r>
        <w:rPr>
          <w:rFonts w:ascii="Times New Roman" w:hAnsi="Times New Roman" w:eastAsia="仿宋_GB2312"/>
          <w:color w:val="auto"/>
          <w:sz w:val="32"/>
          <w:szCs w:val="32"/>
          <w:highlight w:val="none"/>
          <w:lang w:bidi="ar"/>
        </w:rPr>
        <w:t>年预算编制时间和流程安排，请各部门、各学院</w:t>
      </w:r>
      <w:r>
        <w:rPr>
          <w:rFonts w:hint="eastAsia" w:ascii="Times New Roman" w:hAnsi="Times New Roman" w:eastAsia="仿宋_GB2312"/>
          <w:color w:val="auto"/>
          <w:sz w:val="32"/>
          <w:szCs w:val="32"/>
          <w:highlight w:val="none"/>
          <w:lang w:bidi="ar"/>
        </w:rPr>
        <w:t>高度重视，提前规划</w:t>
      </w:r>
      <w:r>
        <w:rPr>
          <w:rFonts w:ascii="Times New Roman" w:hAnsi="Times New Roman" w:eastAsia="仿宋_GB2312"/>
          <w:color w:val="auto"/>
          <w:sz w:val="32"/>
          <w:szCs w:val="32"/>
          <w:highlight w:val="none"/>
          <w:lang w:bidi="ar"/>
        </w:rPr>
        <w:t>，于</w:t>
      </w:r>
      <w:r>
        <w:rPr>
          <w:rFonts w:ascii="Times New Roman" w:hAnsi="Times New Roman" w:eastAsia="仿宋_GB2312"/>
          <w:b/>
          <w:bCs/>
          <w:color w:val="auto"/>
          <w:sz w:val="32"/>
          <w:szCs w:val="32"/>
          <w:highlight w:val="none"/>
          <w:lang w:bidi="ar"/>
        </w:rPr>
        <w:t>202</w:t>
      </w:r>
      <w:r>
        <w:rPr>
          <w:rFonts w:hint="eastAsia" w:ascii="Times New Roman" w:hAnsi="Times New Roman" w:eastAsia="仿宋_GB2312"/>
          <w:b/>
          <w:bCs/>
          <w:color w:val="auto"/>
          <w:sz w:val="32"/>
          <w:szCs w:val="32"/>
          <w:highlight w:val="none"/>
          <w:lang w:val="en-US" w:eastAsia="zh-CN" w:bidi="ar"/>
        </w:rPr>
        <w:t>6</w:t>
      </w:r>
      <w:r>
        <w:rPr>
          <w:rFonts w:ascii="Times New Roman" w:hAnsi="Times New Roman" w:eastAsia="仿宋_GB2312"/>
          <w:b/>
          <w:bCs/>
          <w:color w:val="auto"/>
          <w:sz w:val="32"/>
          <w:szCs w:val="32"/>
          <w:highlight w:val="none"/>
          <w:lang w:bidi="ar"/>
        </w:rPr>
        <w:t>年</w:t>
      </w:r>
      <w:r>
        <w:rPr>
          <w:rFonts w:hint="eastAsia" w:ascii="Times New Roman" w:hAnsi="Times New Roman" w:eastAsia="仿宋_GB2312"/>
          <w:b/>
          <w:bCs/>
          <w:color w:val="auto"/>
          <w:sz w:val="32"/>
          <w:szCs w:val="32"/>
          <w:highlight w:val="none"/>
          <w:lang w:bidi="ar"/>
        </w:rPr>
        <w:t>10</w:t>
      </w:r>
      <w:r>
        <w:rPr>
          <w:rFonts w:ascii="Times New Roman" w:hAnsi="Times New Roman" w:eastAsia="仿宋_GB2312"/>
          <w:b/>
          <w:bCs/>
          <w:color w:val="auto"/>
          <w:sz w:val="32"/>
          <w:szCs w:val="32"/>
          <w:highlight w:val="none"/>
          <w:lang w:bidi="ar"/>
        </w:rPr>
        <w:t>月</w:t>
      </w:r>
      <w:r>
        <w:rPr>
          <w:rFonts w:hint="eastAsia" w:ascii="Times New Roman" w:hAnsi="Times New Roman" w:eastAsia="仿宋_GB2312"/>
          <w:b/>
          <w:bCs/>
          <w:color w:val="auto"/>
          <w:sz w:val="32"/>
          <w:szCs w:val="32"/>
          <w:highlight w:val="none"/>
          <w:lang w:val="en-US" w:eastAsia="zh-CN" w:bidi="ar"/>
        </w:rPr>
        <w:t>22</w:t>
      </w:r>
      <w:r>
        <w:rPr>
          <w:rFonts w:ascii="Times New Roman" w:hAnsi="Times New Roman" w:eastAsia="仿宋_GB2312"/>
          <w:b/>
          <w:bCs/>
          <w:color w:val="auto"/>
          <w:sz w:val="32"/>
          <w:szCs w:val="32"/>
          <w:highlight w:val="none"/>
          <w:lang w:bidi="ar"/>
        </w:rPr>
        <w:t>日</w:t>
      </w:r>
      <w:r>
        <w:rPr>
          <w:rFonts w:hint="eastAsia" w:ascii="Times New Roman" w:hAnsi="Times New Roman" w:eastAsia="仿宋_GB2312"/>
          <w:b/>
          <w:bCs/>
          <w:color w:val="auto"/>
          <w:sz w:val="32"/>
          <w:szCs w:val="32"/>
          <w:highlight w:val="none"/>
          <w:lang w:eastAsia="zh-CN" w:bidi="ar"/>
        </w:rPr>
        <w:t>（</w:t>
      </w:r>
      <w:r>
        <w:rPr>
          <w:rFonts w:hint="eastAsia" w:ascii="Times New Roman" w:hAnsi="Times New Roman" w:eastAsia="仿宋_GB2312"/>
          <w:b/>
          <w:bCs/>
          <w:color w:val="auto"/>
          <w:sz w:val="32"/>
          <w:szCs w:val="32"/>
          <w:highlight w:val="none"/>
          <w:lang w:val="en-US" w:eastAsia="zh-CN" w:bidi="ar"/>
        </w:rPr>
        <w:t>周三</w:t>
      </w:r>
      <w:r>
        <w:rPr>
          <w:rFonts w:hint="eastAsia" w:ascii="Times New Roman" w:hAnsi="Times New Roman" w:eastAsia="仿宋_GB2312"/>
          <w:b/>
          <w:bCs/>
          <w:color w:val="auto"/>
          <w:sz w:val="32"/>
          <w:szCs w:val="32"/>
          <w:highlight w:val="none"/>
          <w:lang w:eastAsia="zh-CN" w:bidi="ar"/>
        </w:rPr>
        <w:t>）</w:t>
      </w:r>
      <w:r>
        <w:rPr>
          <w:rFonts w:ascii="Times New Roman" w:hAnsi="Times New Roman" w:eastAsia="仿宋_GB2312"/>
          <w:color w:val="auto"/>
          <w:sz w:val="32"/>
          <w:szCs w:val="32"/>
          <w:highlight w:val="none"/>
          <w:lang w:bidi="ar"/>
        </w:rPr>
        <w:t>前将202</w:t>
      </w:r>
      <w:r>
        <w:rPr>
          <w:rFonts w:hint="eastAsia" w:ascii="Times New Roman" w:hAnsi="Times New Roman" w:eastAsia="仿宋_GB2312"/>
          <w:color w:val="auto"/>
          <w:sz w:val="32"/>
          <w:szCs w:val="32"/>
          <w:highlight w:val="none"/>
          <w:lang w:val="en-US" w:eastAsia="zh-CN" w:bidi="ar"/>
        </w:rPr>
        <w:t>6</w:t>
      </w:r>
      <w:r>
        <w:rPr>
          <w:rFonts w:ascii="Times New Roman" w:hAnsi="Times New Roman" w:eastAsia="仿宋_GB2312"/>
          <w:color w:val="auto"/>
          <w:sz w:val="32"/>
          <w:szCs w:val="32"/>
          <w:highlight w:val="none"/>
          <w:lang w:bidi="ar"/>
        </w:rPr>
        <w:t>年预算申报材料签字盖章后连同电子稿报送计划财务处（邮箱：</w:t>
      </w:r>
      <w:r>
        <w:rPr>
          <w:color w:val="auto"/>
          <w:highlight w:val="none"/>
        </w:rPr>
        <w:fldChar w:fldCharType="begin"/>
      </w:r>
      <w:r>
        <w:rPr>
          <w:color w:val="auto"/>
          <w:highlight w:val="none"/>
        </w:rPr>
        <w:instrText xml:space="preserve"> HYPERLINK "mailto:jhcwc@hutc.zj.cn" </w:instrText>
      </w:r>
      <w:r>
        <w:rPr>
          <w:color w:val="auto"/>
          <w:highlight w:val="none"/>
        </w:rPr>
        <w:fldChar w:fldCharType="separate"/>
      </w:r>
      <w:r>
        <w:rPr>
          <w:rFonts w:ascii="Times New Roman" w:hAnsi="Times New Roman" w:eastAsia="仿宋_GB2312"/>
          <w:color w:val="auto"/>
          <w:sz w:val="32"/>
          <w:szCs w:val="32"/>
          <w:highlight w:val="none"/>
          <w:lang w:bidi="ar"/>
        </w:rPr>
        <w:t>02510@zjhu.edu.cn</w:t>
      </w:r>
      <w:r>
        <w:rPr>
          <w:rFonts w:ascii="Times New Roman" w:hAnsi="Times New Roman" w:eastAsia="仿宋_GB2312"/>
          <w:color w:val="auto"/>
          <w:sz w:val="32"/>
          <w:szCs w:val="32"/>
          <w:highlight w:val="none"/>
          <w:lang w:bidi="ar"/>
        </w:rPr>
        <w:fldChar w:fldCharType="end"/>
      </w:r>
      <w:r>
        <w:rPr>
          <w:rFonts w:ascii="Times New Roman" w:hAnsi="Times New Roman" w:eastAsia="仿宋_GB2312"/>
          <w:color w:val="auto"/>
          <w:sz w:val="32"/>
          <w:szCs w:val="32"/>
          <w:highlight w:val="none"/>
          <w:lang w:bidi="ar"/>
        </w:rPr>
        <w:t>）。</w:t>
      </w:r>
    </w:p>
    <w:p w14:paraId="3A60DBB3">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firstLine="525"/>
        <w:jc w:val="both"/>
        <w:textAlignment w:val="auto"/>
        <w:rPr>
          <w:rFonts w:ascii="Times New Roman" w:hAnsi="Times New Roman" w:eastAsia="仿宋_GB2312"/>
          <w:color w:val="auto"/>
          <w:sz w:val="32"/>
          <w:szCs w:val="32"/>
          <w:highlight w:val="none"/>
          <w:lang w:bidi="ar"/>
        </w:rPr>
      </w:pPr>
      <w:r>
        <w:rPr>
          <w:rFonts w:ascii="Times New Roman" w:hAnsi="Times New Roman" w:eastAsia="仿宋_GB2312"/>
          <w:color w:val="auto"/>
          <w:sz w:val="32"/>
          <w:szCs w:val="32"/>
          <w:highlight w:val="none"/>
          <w:lang w:bidi="ar"/>
        </w:rPr>
        <w:t>联系人：霍桑 </w:t>
      </w:r>
      <w:r>
        <w:rPr>
          <w:rFonts w:hint="eastAsia" w:ascii="Times New Roman" w:hAnsi="Times New Roman" w:eastAsia="仿宋_GB2312"/>
          <w:color w:val="auto"/>
          <w:sz w:val="32"/>
          <w:szCs w:val="32"/>
          <w:highlight w:val="none"/>
          <w:lang w:val="en-US" w:eastAsia="zh-CN" w:bidi="ar"/>
        </w:rPr>
        <w:t xml:space="preserve"> 刘冉</w:t>
      </w:r>
      <w:r>
        <w:rPr>
          <w:rFonts w:ascii="Times New Roman" w:hAnsi="Times New Roman" w:eastAsia="仿宋_GB2312"/>
          <w:color w:val="auto"/>
          <w:sz w:val="32"/>
          <w:szCs w:val="32"/>
          <w:highlight w:val="none"/>
          <w:lang w:bidi="ar"/>
        </w:rPr>
        <w:t>，联系电话：2321189</w:t>
      </w:r>
    </w:p>
    <w:p w14:paraId="3901E23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olor w:val="auto"/>
          <w:sz w:val="32"/>
          <w:szCs w:val="32"/>
          <w:highlight w:val="none"/>
          <w:lang w:val="en-US" w:eastAsia="zh-CN" w:bidi="ar"/>
        </w:rPr>
      </w:pPr>
    </w:p>
    <w:p w14:paraId="14899192">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olor w:val="auto"/>
          <w:sz w:val="32"/>
          <w:szCs w:val="32"/>
          <w:highlight w:val="none"/>
          <w:lang w:val="en-US" w:eastAsia="zh-CN" w:bidi="ar"/>
        </w:rPr>
      </w:pPr>
      <w:r>
        <w:rPr>
          <w:rFonts w:hint="eastAsia" w:ascii="Times New Roman" w:hAnsi="Times New Roman" w:eastAsia="仿宋_GB2312"/>
          <w:color w:val="auto"/>
          <w:sz w:val="32"/>
          <w:szCs w:val="32"/>
          <w:highlight w:val="none"/>
          <w:lang w:val="en-US" w:eastAsia="zh-CN" w:bidi="ar"/>
        </w:rPr>
        <w:t>附件：2026年度预算编制表格</w:t>
      </w:r>
    </w:p>
    <w:p w14:paraId="2ADFAFB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Times New Roman" w:hAnsi="Times New Roman" w:eastAsia="仿宋_GB2312"/>
          <w:color w:val="auto"/>
          <w:sz w:val="32"/>
          <w:szCs w:val="32"/>
          <w:highlight w:val="none"/>
          <w:lang w:val="en-US" w:eastAsia="zh-CN" w:bidi="ar"/>
        </w:rPr>
      </w:pPr>
    </w:p>
    <w:p w14:paraId="46BC9305">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olor w:val="auto"/>
          <w:sz w:val="32"/>
          <w:szCs w:val="32"/>
          <w:highlight w:val="none"/>
          <w:lang w:val="en-US" w:eastAsia="zh-CN" w:bidi="ar"/>
        </w:rPr>
      </w:pPr>
    </w:p>
    <w:p w14:paraId="4B9DE11C">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right"/>
        <w:textAlignment w:val="auto"/>
        <w:rPr>
          <w:rFonts w:hint="eastAsia" w:ascii="Times New Roman" w:hAnsi="Times New Roman" w:eastAsia="仿宋_GB2312"/>
          <w:color w:val="auto"/>
          <w:sz w:val="32"/>
          <w:szCs w:val="32"/>
          <w:highlight w:val="none"/>
          <w:lang w:val="en-US" w:eastAsia="zh-CN" w:bidi="ar"/>
        </w:rPr>
      </w:pPr>
      <w:r>
        <w:rPr>
          <w:rFonts w:hint="eastAsia" w:ascii="Times New Roman" w:hAnsi="Times New Roman" w:eastAsia="仿宋_GB2312"/>
          <w:color w:val="auto"/>
          <w:sz w:val="32"/>
          <w:szCs w:val="32"/>
          <w:highlight w:val="none"/>
          <w:lang w:val="en-US" w:eastAsia="zh-CN" w:bidi="ar"/>
        </w:rPr>
        <w:t>计划财务处（采购管理办公室）</w:t>
      </w:r>
    </w:p>
    <w:p w14:paraId="3202BCD8">
      <w:pPr>
        <w:keepNext w:val="0"/>
        <w:keepLines w:val="0"/>
        <w:pageBreakBefore w:val="0"/>
        <w:widowControl/>
        <w:kinsoku/>
        <w:wordWrap/>
        <w:overflowPunct/>
        <w:topLinePunct w:val="0"/>
        <w:autoSpaceDE/>
        <w:autoSpaceDN/>
        <w:bidi w:val="0"/>
        <w:adjustRightInd/>
        <w:snapToGrid/>
        <w:spacing w:line="560" w:lineRule="exact"/>
        <w:ind w:left="0" w:leftChars="0" w:firstLine="4800" w:firstLineChars="1500"/>
        <w:jc w:val="both"/>
        <w:textAlignment w:val="auto"/>
        <w:rPr>
          <w:rFonts w:hint="eastAsia" w:ascii="Times New Roman" w:hAnsi="Times New Roman" w:eastAsia="仿宋_GB2312"/>
          <w:color w:val="auto"/>
          <w:sz w:val="32"/>
          <w:szCs w:val="32"/>
          <w:highlight w:val="none"/>
          <w:lang w:val="en-US" w:eastAsia="zh-CN" w:bidi="ar"/>
        </w:rPr>
      </w:pPr>
      <w:r>
        <w:rPr>
          <w:rFonts w:hint="eastAsia" w:ascii="Times New Roman" w:hAnsi="Times New Roman" w:eastAsia="仿宋_GB2312"/>
          <w:color w:val="auto"/>
          <w:sz w:val="32"/>
          <w:szCs w:val="32"/>
          <w:highlight w:val="none"/>
          <w:lang w:val="en-US" w:eastAsia="zh-CN" w:bidi="ar"/>
        </w:rPr>
        <w:t>2025年9月23日</w:t>
      </w:r>
    </w:p>
    <w:p w14:paraId="6321C0E1">
      <w:pPr>
        <w:keepNext w:val="0"/>
        <w:keepLines w:val="0"/>
        <w:pageBreakBefore w:val="0"/>
        <w:widowControl/>
        <w:kinsoku/>
        <w:wordWrap/>
        <w:overflowPunct/>
        <w:topLinePunct w:val="0"/>
        <w:autoSpaceDE/>
        <w:autoSpaceDN/>
        <w:bidi w:val="0"/>
        <w:adjustRightInd/>
        <w:snapToGrid/>
        <w:spacing w:line="560" w:lineRule="exact"/>
        <w:ind w:left="0" w:leftChars="0" w:firstLine="4800" w:firstLineChars="1500"/>
        <w:jc w:val="both"/>
        <w:textAlignment w:val="auto"/>
        <w:rPr>
          <w:rFonts w:hint="eastAsia" w:ascii="Times New Roman" w:hAnsi="Times New Roman" w:eastAsia="仿宋_GB2312"/>
          <w:color w:val="auto"/>
          <w:sz w:val="32"/>
          <w:szCs w:val="32"/>
          <w:highlight w:val="none"/>
          <w:lang w:val="en-US" w:eastAsia="zh-CN" w:bidi="ar"/>
        </w:rPr>
      </w:pPr>
    </w:p>
    <w:p w14:paraId="475A66D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olor w:val="auto"/>
          <w:sz w:val="32"/>
          <w:szCs w:val="32"/>
          <w:highlight w:val="none"/>
          <w:lang w:val="en-US" w:eastAsia="zh-CN" w:bidi="ar"/>
        </w:rPr>
      </w:pPr>
    </w:p>
    <w:p w14:paraId="100120EE">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olor w:val="auto"/>
          <w:sz w:val="32"/>
          <w:szCs w:val="32"/>
          <w:highlight w:val="none"/>
          <w:lang w:val="en-US" w:eastAsia="zh-CN" w:bidi="ar"/>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4DA6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41D7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341D7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3A2338"/>
    <w:multiLevelType w:val="singleLevel"/>
    <w:tmpl w:val="C13A2338"/>
    <w:lvl w:ilvl="0" w:tentative="0">
      <w:start w:val="3"/>
      <w:numFmt w:val="chineseCounting"/>
      <w:suff w:val="nothing"/>
      <w:lvlText w:val="（%1）"/>
      <w:lvlJc w:val="left"/>
      <w:rPr>
        <w:rFonts w:hint="eastAsia"/>
      </w:rPr>
    </w:lvl>
  </w:abstractNum>
  <w:abstractNum w:abstractNumId="1">
    <w:nsid w:val="C8C25FCB"/>
    <w:multiLevelType w:val="singleLevel"/>
    <w:tmpl w:val="C8C25FCB"/>
    <w:lvl w:ilvl="0" w:tentative="0">
      <w:start w:val="2"/>
      <w:numFmt w:val="decimal"/>
      <w:suff w:val="space"/>
      <w:lvlText w:val="%1."/>
      <w:lvlJc w:val="left"/>
    </w:lvl>
  </w:abstractNum>
  <w:abstractNum w:abstractNumId="2">
    <w:nsid w:val="25E6F817"/>
    <w:multiLevelType w:val="singleLevel"/>
    <w:tmpl w:val="25E6F817"/>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537710"/>
    <w:rsid w:val="02364E93"/>
    <w:rsid w:val="03075147"/>
    <w:rsid w:val="071B05E7"/>
    <w:rsid w:val="08257673"/>
    <w:rsid w:val="0A602D56"/>
    <w:rsid w:val="0B534F80"/>
    <w:rsid w:val="0CC41C4C"/>
    <w:rsid w:val="0D8B0A01"/>
    <w:rsid w:val="0DD95C10"/>
    <w:rsid w:val="0DE325EB"/>
    <w:rsid w:val="0E8B64D1"/>
    <w:rsid w:val="13F16506"/>
    <w:rsid w:val="1520200E"/>
    <w:rsid w:val="192F2A09"/>
    <w:rsid w:val="1D537710"/>
    <w:rsid w:val="1ED42406"/>
    <w:rsid w:val="1EDA210A"/>
    <w:rsid w:val="1FE3205D"/>
    <w:rsid w:val="22E22C5F"/>
    <w:rsid w:val="26437C73"/>
    <w:rsid w:val="26E74DF8"/>
    <w:rsid w:val="28942A08"/>
    <w:rsid w:val="2D1135D0"/>
    <w:rsid w:val="2EAC4AE0"/>
    <w:rsid w:val="2F792957"/>
    <w:rsid w:val="2FA95C75"/>
    <w:rsid w:val="31064636"/>
    <w:rsid w:val="33DE5067"/>
    <w:rsid w:val="35B56A3B"/>
    <w:rsid w:val="3793032E"/>
    <w:rsid w:val="383831AC"/>
    <w:rsid w:val="3AE32162"/>
    <w:rsid w:val="3EA572C5"/>
    <w:rsid w:val="3F0D3F8E"/>
    <w:rsid w:val="40E67D93"/>
    <w:rsid w:val="422C1AAB"/>
    <w:rsid w:val="43935C90"/>
    <w:rsid w:val="443469F5"/>
    <w:rsid w:val="44CD4C80"/>
    <w:rsid w:val="46965491"/>
    <w:rsid w:val="469B7B17"/>
    <w:rsid w:val="4873270C"/>
    <w:rsid w:val="488F3BC6"/>
    <w:rsid w:val="48987BA6"/>
    <w:rsid w:val="4A8A0944"/>
    <w:rsid w:val="4A9A1CA8"/>
    <w:rsid w:val="4CB41635"/>
    <w:rsid w:val="4E52289A"/>
    <w:rsid w:val="4F876573"/>
    <w:rsid w:val="521C2FA3"/>
    <w:rsid w:val="52353C6D"/>
    <w:rsid w:val="53185E60"/>
    <w:rsid w:val="55FD758F"/>
    <w:rsid w:val="565E52DC"/>
    <w:rsid w:val="59271DF8"/>
    <w:rsid w:val="592A069B"/>
    <w:rsid w:val="5B4B4C15"/>
    <w:rsid w:val="5C264B32"/>
    <w:rsid w:val="5CAE15E3"/>
    <w:rsid w:val="5F921D4B"/>
    <w:rsid w:val="621448F5"/>
    <w:rsid w:val="62A108A8"/>
    <w:rsid w:val="62B91FBD"/>
    <w:rsid w:val="632049E5"/>
    <w:rsid w:val="658E4F10"/>
    <w:rsid w:val="67E4235D"/>
    <w:rsid w:val="69A213CB"/>
    <w:rsid w:val="69DB3DD1"/>
    <w:rsid w:val="6A9547D4"/>
    <w:rsid w:val="6B524992"/>
    <w:rsid w:val="6DA44D97"/>
    <w:rsid w:val="6F26480C"/>
    <w:rsid w:val="72357E11"/>
    <w:rsid w:val="731E6DC0"/>
    <w:rsid w:val="74CD7171"/>
    <w:rsid w:val="74F33AF1"/>
    <w:rsid w:val="771340C5"/>
    <w:rsid w:val="77D819DB"/>
    <w:rsid w:val="797E7089"/>
    <w:rsid w:val="79FA203C"/>
    <w:rsid w:val="7A552612"/>
    <w:rsid w:val="7C6F5D5A"/>
    <w:rsid w:val="7E6C2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link w:val="10"/>
    <w:qFormat/>
    <w:uiPriority w:val="0"/>
    <w:pPr>
      <w:jc w:val="left"/>
    </w:pPr>
    <w:rPr>
      <w:rFonts w:asciiTheme="minorAscii" w:hAnsiTheme="minorAscii"/>
      <w:sz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Emphasis"/>
    <w:basedOn w:val="7"/>
    <w:qFormat/>
    <w:uiPriority w:val="0"/>
    <w:rPr>
      <w:i/>
    </w:rPr>
  </w:style>
  <w:style w:type="character" w:customStyle="1" w:styleId="10">
    <w:name w:val="批注文字 Char"/>
    <w:link w:val="2"/>
    <w:qFormat/>
    <w:uiPriority w:val="0"/>
    <w:rPr>
      <w:rFonts w:asciiTheme="minorAscii" w:hAnsiTheme="minorAscii" w:eastAsiaTheme="minorEastAsia" w:cstheme="minorBidi"/>
      <w:kern w:val="2"/>
      <w:sz w:val="30"/>
      <w:szCs w:val="24"/>
      <w:lang w:val="en-US" w:eastAsia="zh-CN" w:bidi="ar-SA"/>
    </w:rPr>
  </w:style>
  <w:style w:type="paragraph" w:customStyle="1" w:styleId="11">
    <w:name w:val="样式1"/>
    <w:basedOn w:val="1"/>
    <w:qFormat/>
    <w:uiPriority w:val="0"/>
    <w:pPr>
      <w:jc w:val="left"/>
    </w:pPr>
    <w:rPr>
      <w:rFonts w:asciiTheme="minorAscii" w:hAnsiTheme="minorAscii"/>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3536</Words>
  <Characters>3650</Characters>
  <Lines>0</Lines>
  <Paragraphs>0</Paragraphs>
  <TotalTime>38</TotalTime>
  <ScaleCrop>false</ScaleCrop>
  <LinksUpToDate>false</LinksUpToDate>
  <CharactersWithSpaces>3656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2025-08-28T00:57:00Z</dcterms:created>
  <dc:creator>霍桑</dc:creator>
  <cp:lastModifiedBy>霍桑</cp:lastModifiedBy>
  <cp:lastPrinted>2025-09-16T00:48:00Z</cp:lastPrinted>
  <dcterms:modified xsi:type="dcterms:W3CDTF">2025-09-23T07:23:17Z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A7F6EF4E5F2E4F52A804F18C183DFD0C_11</vt:lpwstr>
  </property>
  <property fmtid="{D5CDD505-2E9C-101B-9397-08002B2CF9AE}" pid="4" name="KSOTemplateDocerSaveRecord">
    <vt:lpwstr>eyJoZGlkIjoiZmNiYzE4YjZlZDJjMDBjMjM3NTA3MmNlYjcwOWJlZDQiLCJ1c2VySWQiOiI5MTE5MzI0MDgifQ==</vt:lpwstr>
  </property>
</Properties>
</file>